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B1" w:rsidRDefault="005410B1"/>
    <w:tbl>
      <w:tblPr>
        <w:tblpPr w:leftFromText="45" w:rightFromText="45" w:vertAnchor="text" w:tblpXSpec="center"/>
        <w:tblW w:w="517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7"/>
        <w:gridCol w:w="333"/>
      </w:tblGrid>
      <w:tr w:rsidR="005301DC" w:rsidRPr="005301DC" w:rsidTr="00572A10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410B1" w:rsidRDefault="005410B1"/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301DC" w:rsidRPr="005301D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5301DC" w:rsidRDefault="005301DC" w:rsidP="009918CC">
                  <w:pPr>
                    <w:framePr w:hSpace="45" w:wrap="around" w:vAnchor="text" w:hAnchor="text" w:xAlign="center"/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jc w:val="center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572A10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572A10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7"/>
            </w:tblGrid>
            <w:tr w:rsidR="005301DC" w:rsidRPr="005301D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5301DC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016CC9" w:rsidTr="00572A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5D57A3" w:rsidTr="00572A10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0"/>
            </w:tblGrid>
            <w:tr w:rsidR="00016CC9" w:rsidRPr="005D57A3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A713A7" w:rsidRDefault="00A713A7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Проектная декларация </w:t>
                  </w: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br/>
                    <w:t xml:space="preserve">по строительству  многоквартирного  дома </w:t>
                  </w:r>
                  <w:r w:rsidR="0094464B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4464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со встроенными помещениями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, надземным гаражом (автостоянка), </w:t>
                  </w:r>
                  <w:r w:rsidR="0094464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подземны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м гаражом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(автостоянка), трансформаторной подстанцией</w:t>
                  </w:r>
                  <w:r w:rsidR="005939E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4641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по адресу: Санкт-Петербург, 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</w:t>
                  </w:r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с</w:t>
                  </w:r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елок Парголово, Торфяное, </w:t>
                  </w:r>
                  <w:proofErr w:type="spellStart"/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Ольгинская</w:t>
                  </w:r>
                  <w:proofErr w:type="spellEnd"/>
                  <w:r w:rsidR="002108B9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дорога, участок 9 (севе</w:t>
                  </w:r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ро-восточнее дома 4, литера</w:t>
                  </w:r>
                  <w:proofErr w:type="gramStart"/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="0031675B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по Заречной улице) </w:t>
                  </w:r>
                  <w:r w:rsidR="00A2539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 этап</w:t>
                  </w:r>
                </w:p>
                <w:p w:rsidR="00DB78DE" w:rsidRDefault="00DB78DE" w:rsidP="00DB78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(редакция с изменениями от </w:t>
                  </w:r>
                  <w:r w:rsidR="00BF2439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0</w:t>
                  </w:r>
                  <w:r w:rsidR="00266B92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6 ноября</w:t>
                  </w:r>
                  <w:r w:rsidR="00BF2439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8071DC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2</w:t>
                  </w: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014 г.)</w:t>
                  </w:r>
                </w:p>
                <w:p w:rsidR="00A713A7" w:rsidRPr="005D57A3" w:rsidRDefault="00A713A7" w:rsidP="0083350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г. Санкт - Петербург                                                                      </w:t>
                  </w:r>
                  <w:r w:rsidR="005B32D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18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13BE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декабря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201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0A0405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1.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A0405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Полное наименование застройщика: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Общество с ограниченной ответственностью &lt;Норманн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&gt;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1.1. Юридический адрес: 194156, г. Санкт-Петербург, ул. Сердобольская, д. 2-в, лит. А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Адрес фактического местонахождения: </w:t>
                  </w:r>
                  <w:r w:rsidR="00B43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191</w:t>
                  </w:r>
                  <w:r w:rsidR="003E5E0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167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г. Санкт-Петербург, </w:t>
                  </w:r>
                  <w:r w:rsidR="00DC40D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пл. Ал. Невского, д. 2</w:t>
                  </w:r>
                  <w:r w:rsidR="00B43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лит. Е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03B4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2. Информация о государственной регистрации застройщика: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зарегистрировано МИФНС № 15 по Санкт-Петербургу, свидетельство о государственной регистрации юридического лица от 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11</w:t>
                  </w:r>
                  <w:r w:rsidR="008618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апрел</w:t>
                  </w:r>
                  <w:r w:rsidR="008618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2007 года серия 78 № 006</w:t>
                  </w:r>
                  <w:r w:rsidR="00017B8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047393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основной государственный регистрационный номер 107</w:t>
                  </w:r>
                  <w:r w:rsidR="00005B8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78472644</w:t>
                  </w:r>
                  <w:r w:rsidR="00985B7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39</w:t>
                  </w:r>
                  <w:r w:rsidR="00DF2BF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3F743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5D57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03B4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3. Информация об учредителях (участниках) застройщика: </w:t>
                  </w:r>
                  <w:r w:rsidR="0077651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бщество</w:t>
                  </w:r>
                  <w:r w:rsidR="0077651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 ограниченной ответственностью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«Норманн</w:t>
                  </w:r>
                  <w:r w:rsidR="000017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-Холдинг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» - 100%</w:t>
                  </w:r>
                </w:p>
                <w:p w:rsidR="00572A10" w:rsidRPr="005D57A3" w:rsidRDefault="00A713A7" w:rsidP="00572A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E287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CE6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строительств</w:t>
                  </w:r>
                  <w:r w:rsidR="005501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многоквартирного жилого дома </w:t>
                  </w:r>
                  <w:r w:rsidR="00550143" w:rsidRPr="005D57A3">
                    <w:rPr>
                      <w:rFonts w:ascii="Verdana" w:hAnsi="Verdana"/>
                      <w:sz w:val="20"/>
                      <w:szCs w:val="20"/>
                    </w:rPr>
                    <w:t>с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встроенными помещениями и подземным паркингом по адресу:</w:t>
                  </w:r>
                  <w:r w:rsidR="0055014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82CE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Санкт-Петербург, Индустриальный проспект, участок 72  (севернее дома 10, корпус 1, литера Б)</w:t>
                  </w:r>
                  <w:r w:rsidR="002108B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572A1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Плановый срок ввода объекта в эксплуатацию – 1 квартал 2014 года.</w:t>
                  </w:r>
                  <w:r w:rsidR="00572A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572A1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Введен в эксплуатацию на основании 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Разрешени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я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на 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ввод объекта в эксплуатацию 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№ 78-0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207в-2014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27 февраля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201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</w:t>
                  </w:r>
                  <w:r w:rsidR="00572A10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года выдано Службой Государственного строительного надзора и экспертизы Санкт-Петербурга</w:t>
                  </w:r>
                  <w:r w:rsidR="00572A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572A1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End"/>
                </w:p>
                <w:p w:rsidR="00A713A7" w:rsidRPr="005D57A3" w:rsidRDefault="00A713A7" w:rsidP="00652B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E287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5. </w:t>
                  </w:r>
                  <w:r w:rsidRPr="005E2870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E287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 xml:space="preserve">Нет.  В 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соответствии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 федеральным законом от 08.08.2001 № 128-ФЗ «О лицензировании отдельных видов деятельности» лицензирование деятельности по строительству зданий и </w:t>
                  </w:r>
                  <w:r w:rsidR="00DF2BF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сооружени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й прекращено с 1 января 2010 года. </w:t>
                  </w:r>
                </w:p>
                <w:p w:rsidR="00266B92" w:rsidRPr="00266B92" w:rsidRDefault="00A713A7" w:rsidP="00266B92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E287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6. </w:t>
                  </w:r>
                  <w:r w:rsidR="00443C28" w:rsidRPr="005E2870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A5013" w:rsidRPr="003376C4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Финансовый результат текущего года, размер кредиторской задолженности на дату опубликования проектной декларации</w:t>
                  </w:r>
                  <w:r w:rsidR="004A5013" w:rsidRPr="00127E9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  <w:r w:rsidR="004A5013">
                    <w:t xml:space="preserve"> </w:t>
                  </w:r>
                  <w:r w:rsidR="00BF2439" w:rsidRPr="009D0ECC">
                    <w:t xml:space="preserve">  </w:t>
                  </w:r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t>Финансовый результат текущего периода составил 15 685 тыс. руб. (Пятнадцать миллионов шестьсот восемьдесят пять тысяч рублей)</w:t>
                  </w:r>
                  <w:proofErr w:type="gramStart"/>
                  <w:r w:rsidR="00266B92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t>Р</w:t>
                  </w:r>
                  <w:proofErr w:type="gramEnd"/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азмер кредиторской задолженности  составил 97 247 тыс. руб. (Девяносто семь </w:t>
                  </w:r>
                  <w:r w:rsidR="00266B92" w:rsidRPr="00266B92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миллионов двести сорок семь тысяч рублей)</w:t>
                  </w:r>
                  <w:r w:rsidR="00266B92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BF2439" w:rsidRPr="00266B92" w:rsidRDefault="00266B92" w:rsidP="00266B92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266B92">
                    <w:rPr>
                      <w:rFonts w:ascii="Verdana" w:hAnsi="Verdana"/>
                      <w:sz w:val="20"/>
                      <w:szCs w:val="20"/>
                    </w:rPr>
                    <w:t xml:space="preserve">Размер дебиторской задолженности   составил 211 190 тыс. руб. (Двести одиннадцать миллионов сто девяносто тысяч рублей. </w:t>
                  </w:r>
                </w:p>
                <w:p w:rsidR="00DB3EF8" w:rsidRPr="005D57A3" w:rsidRDefault="00A713A7" w:rsidP="00D00051">
                  <w:pPr>
                    <w:spacing w:before="100" w:beforeAutospacing="1" w:after="0" w:line="240" w:lineRule="auto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 проекте строительства</w:t>
                  </w:r>
                </w:p>
                <w:p w:rsidR="000B41A4" w:rsidRDefault="00DB3EF8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7. Цель проекта строительства: </w:t>
                  </w:r>
                  <w:r w:rsidR="00A713A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строительство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C9017E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двух 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односекционных  2</w:t>
                  </w:r>
                  <w:r w:rsidR="00140F0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-этажных многоквартирный  жилых домов (</w:t>
                  </w:r>
                  <w:r w:rsidR="00140F0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не </w:t>
                  </w:r>
                  <w:r w:rsidR="0071283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включая подвальный этаж и  технический чердак) корпус 1, корпус 2,   со встроенными помещениями,  подземным гаражом (автостоянка) </w:t>
                  </w:r>
                </w:p>
                <w:p w:rsidR="0031675B" w:rsidRPr="005D57A3" w:rsidRDefault="0071283E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корпус 5  </w:t>
                  </w:r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адресу: Санкт-Петербург, поселок Парголово, Торфяное, </w:t>
                  </w:r>
                  <w:proofErr w:type="spellStart"/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Ольгинская</w:t>
                  </w:r>
                  <w:proofErr w:type="spellEnd"/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дорога, участок 9 (северо-восточнее дома 4, литера</w:t>
                  </w:r>
                  <w:proofErr w:type="gramStart"/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Заречной улице). </w:t>
                  </w:r>
                </w:p>
                <w:p w:rsidR="00016CC9" w:rsidRPr="005D57A3" w:rsidRDefault="00DB3EF8" w:rsidP="00DB3EF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.1.1. Начало строительства 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1A3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A1A33" w:rsidRPr="005D57A3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IV</w:t>
                  </w:r>
                  <w:r w:rsidR="007A1A33" w:rsidRPr="005D57A3">
                    <w:rPr>
                      <w:rFonts w:ascii="Verdana" w:hAnsi="Verdana"/>
                      <w:sz w:val="20"/>
                      <w:szCs w:val="20"/>
                    </w:rPr>
                    <w:t xml:space="preserve">  квартал</w:t>
                  </w:r>
                  <w:r w:rsidR="007A1A3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31675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.1.2. Окончание строительства: -</w:t>
                  </w:r>
                  <w:r w:rsid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C76BDF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IV</w:t>
                  </w:r>
                  <w:r w:rsidR="007D3E76" w:rsidRPr="005D57A3">
                    <w:rPr>
                      <w:rFonts w:ascii="Verdana" w:hAnsi="Verdana"/>
                      <w:color w:val="FF0000"/>
                      <w:sz w:val="20"/>
                      <w:szCs w:val="20"/>
                    </w:rPr>
                    <w:t xml:space="preserve">  </w:t>
                  </w:r>
                  <w:r w:rsidR="007D3E76" w:rsidRPr="00C76BDF">
                    <w:rPr>
                      <w:rFonts w:ascii="Verdana" w:hAnsi="Verdana"/>
                      <w:sz w:val="20"/>
                      <w:szCs w:val="20"/>
                    </w:rPr>
                    <w:t>квартал</w:t>
                  </w:r>
                  <w:proofErr w:type="gramEnd"/>
                  <w:r w:rsidR="007D3E76" w:rsidRPr="00C76BDF">
                    <w:rPr>
                      <w:rFonts w:ascii="Verdana" w:hAnsi="Verdana"/>
                      <w:sz w:val="20"/>
                      <w:szCs w:val="20"/>
                    </w:rPr>
                    <w:t xml:space="preserve"> 201</w:t>
                  </w:r>
                  <w:r w:rsidR="00C76BDF" w:rsidRPr="00C76BDF"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  <w:r w:rsidR="007D3E76" w:rsidRPr="00C76BDF">
                    <w:rPr>
                      <w:rFonts w:ascii="Verdana" w:hAnsi="Verdana"/>
                      <w:sz w:val="20"/>
                      <w:szCs w:val="20"/>
                    </w:rPr>
                    <w:t xml:space="preserve"> года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C76BDF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Результаты проведения государственной экспертизы проектной документации: Положительное заключение Управления государственной экспертизы </w:t>
                  </w:r>
                  <w:r w:rsidR="00630AA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="00972910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78-1-4-0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495</w:t>
                  </w:r>
                  <w:r w:rsidR="00972910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-1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630AA8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972910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972910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.1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19449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.201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19449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</w:t>
                  </w:r>
                  <w:r w:rsidR="00600F3D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630AA8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Разрешение на строительство 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="0083350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78-</w:t>
                  </w:r>
                  <w:r w:rsidR="00B022F6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3026120</w:t>
                  </w:r>
                  <w:r w:rsidR="0083350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-20</w:t>
                  </w:r>
                  <w:r w:rsidR="00B022F6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12</w:t>
                  </w:r>
                  <w:r w:rsidR="0083350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022F6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декабря</w:t>
                  </w:r>
                  <w:r w:rsidR="00833505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11684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выдано Службой Государственного строительного надзора и экспертизы Санкт-Петербурга. Срок действия разрешения - </w:t>
                  </w:r>
                  <w:r w:rsidR="00030AA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140F0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12 декабря 2015</w:t>
                  </w:r>
                  <w:r w:rsidR="0011684F"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684F" w:rsidRPr="00140F0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года</w:t>
                  </w:r>
                  <w:r w:rsidR="00630AA8" w:rsidRPr="00140F0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C76BDF" w:rsidRDefault="0031675B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Земельный участок принадлежит застройщику на праве собственности  на основании Договора купли-продажи недвижимого имущества от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 года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что подтверждается Свидетельством о государственной регистрации права от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29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0.20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13г.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бланке серии 78-А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03C2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146931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464FB4" w:rsidRPr="005D57A3" w:rsidRDefault="00DB3EF8" w:rsidP="00464FB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bCs/>
                      <w:sz w:val="20"/>
                      <w:szCs w:val="20"/>
                      <w:lang w:eastAsia="ru-RU"/>
                    </w:rPr>
                    <w:t xml:space="preserve">12. </w:t>
                  </w:r>
                  <w:r w:rsidR="00464FB4" w:rsidRPr="005D57A3">
                    <w:rPr>
                      <w:rFonts w:ascii="Verdana" w:eastAsia="Times New Roman" w:hAnsi="Verdana"/>
                      <w:bCs/>
                      <w:sz w:val="20"/>
                      <w:szCs w:val="20"/>
                      <w:lang w:eastAsia="ru-RU"/>
                    </w:rPr>
                    <w:t>Собственник земельного участка:</w:t>
                  </w:r>
                  <w:r w:rsidR="00464FB4" w:rsidRPr="005D57A3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1675B" w:rsidRPr="005D57A3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ru-RU"/>
                    </w:rPr>
                    <w:t>ООО «Норманн-Центр»</w:t>
                  </w:r>
                  <w:r w:rsidR="00464FB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Земельный участок площадью </w:t>
                  </w:r>
                  <w:r w:rsidR="00C13F6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1055,</w:t>
                  </w:r>
                  <w:r w:rsidR="00A00ED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кв.м., кадастровый номер - № 78: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36</w:t>
                  </w:r>
                  <w:r w:rsidR="006506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1310101</w:t>
                  </w:r>
                  <w:r w:rsidR="0065064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37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ограничен: </w:t>
                  </w:r>
                </w:p>
                <w:p w:rsidR="00016CC9" w:rsidRPr="00C76BDF" w:rsidRDefault="0065064D" w:rsidP="00E7163B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с 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севера и </w:t>
                  </w: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север</w:t>
                  </w:r>
                  <w:r w:rsidR="00A00ED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о-запада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Заречной улицей</w:t>
                  </w:r>
                  <w:r w:rsidR="00016CC9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016CC9" w:rsidRPr="00C76BDF" w:rsidRDefault="00016CC9" w:rsidP="00E7163B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с 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юго-запада – проектируемым проездом;</w:t>
                  </w: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C76BDF" w:rsidRDefault="00016CC9" w:rsidP="00E7163B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65064D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 </w:t>
                  </w:r>
                  <w:r w:rsidR="00F84DEE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юго-</w:t>
                  </w:r>
                  <w:r w:rsidR="00C76BDF"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востока – продолжением улицы Жени Егоровой.</w:t>
                  </w:r>
                  <w:r w:rsidRPr="00C76B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B78DE" w:rsidRDefault="00DB78DE" w:rsidP="00B46C88">
                  <w:pPr>
                    <w:spacing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5D57A3" w:rsidRDefault="00016CC9" w:rsidP="00B46C88">
                  <w:pPr>
                    <w:spacing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Элементы благоустройства: </w:t>
                  </w:r>
                </w:p>
                <w:p w:rsidR="00016CC9" w:rsidRPr="00DE3755" w:rsidRDefault="00DE375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Асфальтобетонное покрытие проездов и площадок для парковки автомобилей, плиточное мощение тротуаров, дорожки </w:t>
                  </w:r>
                  <w:r w:rsidR="002C03DD"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площадки с набивным покрытием из щебня и песка, предусмотрена посадка деревьев, кустарников в группах и живых изгородях,  устройство газона и устано</w:t>
                  </w:r>
                  <w:r w:rsid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</w:t>
                  </w:r>
                  <w:r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ка малых архитектурных форм. </w:t>
                  </w:r>
                  <w:r w:rsidR="002C03DD" w:rsidRPr="00DE375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Местоположение строящегося </w:t>
                  </w:r>
                  <w:r w:rsidR="00CF413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FD3CC4" w:rsidRPr="005D57A3" w:rsidRDefault="00016CC9" w:rsidP="00FD3CC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Строящийся </w:t>
                  </w:r>
                  <w:r w:rsidR="00413CE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 по адресу: </w:t>
                  </w:r>
                  <w:r w:rsidR="00413CEE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Санкт-Петербург, поселок Парголово, Торфяное, </w:t>
                  </w:r>
                  <w:proofErr w:type="spellStart"/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Ольгинская</w:t>
                  </w:r>
                  <w:proofErr w:type="spellEnd"/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дорога, участок 9 (северо-восточнее дома 4, литера</w:t>
                  </w:r>
                  <w:proofErr w:type="gramStart"/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 Заречной улице)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Ближайш</w:t>
                  </w:r>
                  <w:r w:rsidR="00C57B7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C57B7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метро </w:t>
                  </w:r>
                  <w:r w:rsidR="004614A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D3CC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Парнас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C3A6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самостоятельных частей (квартир, гаражей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и иных объектов недвижимости), </w:t>
                  </w:r>
                  <w:r w:rsidR="0024796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8A3A3C" w:rsidRDefault="009144D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1: Площадь застройки -895,7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9144D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</w:t>
                  </w:r>
                  <w:r w:rsidR="00016CC9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бщая площадь </w:t>
                  </w:r>
                  <w:r w:rsidR="000A2805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жилого дома</w:t>
                  </w:r>
                  <w:r w:rsidR="008A3A3C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600F3D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A3A3C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20550,0</w:t>
                  </w:r>
                  <w:r w:rsidR="00016CC9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</w:t>
                  </w:r>
                  <w:r w:rsidR="008A3A3C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 том числе общая площадь встроенных помещений – 427,2 кв.м.</w:t>
                  </w:r>
                  <w:r w:rsidR="00600F3D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A3A3C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Строительный объем – 62283,8 кв.м. Общая площадь квартир -  12780,0 кв.м.  </w:t>
                  </w:r>
                  <w:r w:rsidR="00016CC9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Общее количество квартир - </w:t>
                  </w:r>
                  <w:r w:rsid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300</w:t>
                  </w:r>
                  <w:r w:rsidR="00016CC9"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шт., в том числе: </w:t>
                  </w:r>
                </w:p>
                <w:p w:rsidR="008A3A3C" w:rsidRPr="00E03DC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однокомнатные</w:t>
                  </w:r>
                  <w:r w:rsidR="008A3A3C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 кухней </w:t>
                  </w:r>
                  <w:proofErr w:type="gramStart"/>
                  <w:r w:rsidR="008A3A3C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–н</w:t>
                  </w:r>
                  <w:proofErr w:type="gramEnd"/>
                  <w:r w:rsidR="008A3A3C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ишей </w:t>
                  </w:r>
                  <w:r w:rsid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(студии) </w:t>
                  </w:r>
                  <w:r w:rsidR="008A3A3C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 150 шт.</w:t>
                  </w:r>
                </w:p>
                <w:p w:rsidR="00016CC9" w:rsidRPr="00E03DC4" w:rsidRDefault="008A3A3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-однокомнатные </w:t>
                  </w:r>
                  <w:r w:rsidR="00016CC9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- </w:t>
                  </w: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100</w:t>
                  </w:r>
                  <w:r w:rsidR="00016CC9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 </w:t>
                  </w:r>
                </w:p>
                <w:p w:rsidR="008A3A3C" w:rsidRPr="00E03DC4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двухкомнатные - </w:t>
                  </w:r>
                  <w:r w:rsidR="008A3A3C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25</w:t>
                  </w: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</w:t>
                  </w:r>
                </w:p>
                <w:p w:rsidR="00016CC9" w:rsidRPr="00E03DC4" w:rsidRDefault="008A3A3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-трехкомнатные – 25 шт.</w:t>
                  </w:r>
                  <w:r w:rsidR="00016CC9"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622DD" w:rsidRPr="00B33240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Характеристики квартир</w:t>
                  </w:r>
                  <w:r w:rsidR="00E03DC4"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1</w:t>
                  </w:r>
                  <w:r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с кухней-нишей 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(студии)</w:t>
                  </w: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 xml:space="preserve"> от 26.5 кв.м. до 33.4 кв</w:t>
                  </w:r>
                  <w:proofErr w:type="gramStart"/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(с учетом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алконов/лоджий);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от 40.6 кв.м. до 51.6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2-комнатные все 60.3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3-комнатные все 97.2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F5753" w:rsidRPr="008A3A3C" w:rsidRDefault="000F5753" w:rsidP="000F5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2: Площадь застройки -895,7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9144D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</w:t>
                  </w:r>
                  <w:r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бщая площадь жилого дома  – 20550,0 кв.м., в том числе общая площадь встроенных помещений – 427,2 кв.м. Строительный объем – 62283,8 кв.м. Общая площадь квартир -  12780,0 кв.м.  Общее количество квартир - 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300</w:t>
                  </w:r>
                  <w:r w:rsidRPr="008A3A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шт., в том числе: </w:t>
                  </w:r>
                </w:p>
                <w:p w:rsidR="00C9017E" w:rsidRPr="00E03DC4" w:rsidRDefault="00C9017E" w:rsidP="00C90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однокомнатные с кухней </w:t>
                  </w:r>
                  <w:proofErr w:type="gramStart"/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–н</w:t>
                  </w:r>
                  <w:proofErr w:type="gramEnd"/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ишей</w:t>
                  </w:r>
                  <w:r w:rsid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(студии)</w:t>
                  </w: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150 шт.</w:t>
                  </w:r>
                </w:p>
                <w:p w:rsidR="00C9017E" w:rsidRPr="00E03DC4" w:rsidRDefault="00C9017E" w:rsidP="00C90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-однокомнатные  - 100 шт. </w:t>
                  </w:r>
                </w:p>
                <w:p w:rsidR="00C9017E" w:rsidRPr="00E03DC4" w:rsidRDefault="00C9017E" w:rsidP="00C90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двухкомнатные - 25 шт.</w:t>
                  </w:r>
                </w:p>
                <w:p w:rsidR="00C9017E" w:rsidRPr="00E03DC4" w:rsidRDefault="00C9017E" w:rsidP="00C90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E03DC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-трехкомнатные – 25 шт. </w:t>
                  </w:r>
                </w:p>
                <w:p w:rsidR="00C9017E" w:rsidRPr="00B33240" w:rsidRDefault="00C9017E" w:rsidP="00C901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Характеристики квартир корпуса </w:t>
                  </w:r>
                  <w:r w:rsidR="00B33240"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P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B33240" w:rsidRPr="009E1D36" w:rsidRDefault="00C9017E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33240"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с кухней-нишей </w:t>
                  </w:r>
                  <w:r w:rsidR="00B33240">
                    <w:rPr>
                      <w:rFonts w:ascii="Verdana" w:hAnsi="Verdana"/>
                      <w:sz w:val="20"/>
                      <w:szCs w:val="20"/>
                    </w:rPr>
                    <w:t>(студии)</w:t>
                  </w:r>
                  <w:r w:rsidR="00B33240" w:rsidRPr="009E1D36">
                    <w:rPr>
                      <w:rFonts w:ascii="Verdana" w:hAnsi="Verdana"/>
                      <w:sz w:val="20"/>
                      <w:szCs w:val="20"/>
                    </w:rPr>
                    <w:t xml:space="preserve"> от 26.5 кв.м. до 33.4 кв</w:t>
                  </w:r>
                  <w:proofErr w:type="gramStart"/>
                  <w:r w:rsidR="00B33240" w:rsidRPr="009E1D36">
                    <w:rPr>
                      <w:rFonts w:ascii="Verdana" w:hAnsi="Verdana"/>
                      <w:sz w:val="20"/>
                      <w:szCs w:val="20"/>
                    </w:rPr>
                    <w:t>.м</w:t>
                  </w:r>
                  <w:proofErr w:type="gramEnd"/>
                  <w:r w:rsidR="00B33240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B33240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(с учетом </w:t>
                  </w:r>
                  <w:r w:rsidR="00B3324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</w:t>
                  </w:r>
                  <w:r w:rsidR="00B33240"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алконов/лоджий);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1-комнатные от 40.6 кв.м. до 51.6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9E1D36" w:rsidRDefault="00B33240" w:rsidP="00B3324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2-комнатные все 60.3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Default="00B33240" w:rsidP="00B33240">
                  <w:pP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9E1D36">
                    <w:rPr>
                      <w:rFonts w:ascii="Verdana" w:hAnsi="Verdana"/>
                      <w:sz w:val="20"/>
                      <w:szCs w:val="20"/>
                    </w:rPr>
                    <w:t>3-комнатные все 97.2 кв.м.</w:t>
                  </w:r>
                  <w:r w:rsidRPr="009E1D3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(с учетом балконов/лоджий)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C9017E" w:rsidRPr="00350FE3" w:rsidRDefault="0043645A" w:rsidP="00E03DC4">
                  <w:pPr>
                    <w:spacing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5: площадь застройки – 2880,0 кв</w:t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43645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B5544D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бщая площадь подземной автостоянки  -  2680,0 кв.м. Строительный  объем –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12 328,1 кв.м. </w:t>
                  </w:r>
                  <w:r w:rsidR="00B5544D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Общее количество </w:t>
                  </w:r>
                  <w:proofErr w:type="spellStart"/>
                  <w:r w:rsidR="00B5544D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машиномест</w:t>
                  </w:r>
                  <w:proofErr w:type="spellEnd"/>
                  <w:r w:rsidR="00B5544D" w:rsidRPr="00350FE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96 шт.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этажность – 1 этаж.</w:t>
                  </w:r>
                </w:p>
                <w:p w:rsidR="00772A1F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В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подвальном</w:t>
                  </w:r>
                  <w:r w:rsidR="00201D2E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этаже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1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 кабельная (11,8 кв</w:t>
                  </w:r>
                  <w:proofErr w:type="gramStart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ИТП (10,0 к</w:t>
                  </w:r>
                </w:p>
                <w:p w:rsidR="006B357F" w:rsidRPr="005D57A3" w:rsidRDefault="006B357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 </w:t>
                  </w:r>
                  <w:r w:rsidR="0024796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насосная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пожаротушения 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23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,50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24796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водомерный узел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26,3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974E5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помещение слаботочных систем (14,4 кв.м.), ИТП (18,6 кв.м),  помещение подвала (459,9 кв.м), коридор (5,5 кв.м), насосная хозяйственно-бытовая (14,2 кв.м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).</w:t>
                  </w:r>
                </w:p>
                <w:p w:rsidR="0024796F" w:rsidRPr="005D57A3" w:rsidRDefault="0024796F" w:rsidP="00977F1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первом этаже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1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164A6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тамбур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7,4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F455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холл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22,8 </w:t>
                  </w:r>
                  <w:r w:rsidR="007306F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B357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диспетчерская/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помещение консьержа (19,5 кв.м.),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санузел (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2,3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для уборочного инвентаря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6,1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для прокладки инженерных коммуникаций (35,3 кв.м.),  лестничная клетка (17,7 кв.м.), </w:t>
                  </w:r>
                  <w:proofErr w:type="spellStart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мусоросборная</w:t>
                  </w:r>
                  <w:proofErr w:type="spellEnd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камера (7,4 кв.м),  лифтовой холл (12,9 кв.м), </w:t>
                  </w:r>
                  <w:r w:rsidR="00F5362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проводного вещания и РАСЦО (44,7 кв</w:t>
                  </w:r>
                  <w:proofErr w:type="gramStart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 </w:t>
                  </w:r>
                  <w:proofErr w:type="spellStart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электрощитовая</w:t>
                  </w:r>
                  <w:proofErr w:type="spellEnd"/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(11,0 кв.м), помещение офиса №1 (80,3 кв.м), помещения офиса №2 (127, 5 кв.м.), помещения офиса №3 (219,4 кв.м).</w:t>
                  </w:r>
                </w:p>
                <w:p w:rsidR="0024796F" w:rsidRPr="005D57A3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 </w:t>
                  </w:r>
                  <w:r w:rsidR="00D03517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второго</w:t>
                  </w:r>
                  <w:r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 </w:t>
                  </w:r>
                  <w:r w:rsidR="00E26DE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двадцать 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шестой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этажи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корпуса 1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 квартиры.</w:t>
                  </w:r>
                </w:p>
                <w:p w:rsidR="00977F18" w:rsidRPr="005D57A3" w:rsidRDefault="002177C1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верхнем техническом этаже корпуса 1 расположены: коридор (53,9 кв.м.), машинное помещение лифтов (37,0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тамбур (13,2 кв.м), балкон (5,8 кв.м), лестничная клетка (17,5 кв.м), технический чердак (625,0 кв.м).</w:t>
                  </w:r>
                  <w:r w:rsidR="00977F1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177C1" w:rsidRPr="005D57A3" w:rsidRDefault="002177C1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кровле корпуса 1 расположены: лестничная клетка (17,5 кв.м).</w:t>
                  </w:r>
                </w:p>
                <w:p w:rsidR="002177C1" w:rsidRPr="005D57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подвальном этаже корпуса 2  расположены: кабельная (11,8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ИТП (10,0 кв.м)   насосная пожаротушения  (23,50 кв.м), водомерный узел (26,3 кв.м), помещение слаботочных систем (14,4 кв.м.), ИТП (18,6 кв.м),  помещение подвала (459,9 кв.м), коридор (5,5 кв.м), насосная хозяйственно-бытовая (14,2 кв.м).</w:t>
                  </w:r>
                </w:p>
                <w:p w:rsidR="002177C1" w:rsidRPr="005D57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первом этаже  корпуса 2 расположены: тамбур (7,4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холл (22,8  кв.м), диспетчерская/помещение консьержа (19,5 кв.м.), санузел (2,3 кв.м),  помещение для уборочного инвентаря  (6,1 кв.м), помещение для прокладки инженерных коммуникаций (35,3 кв.м.),  лестничная клетка (17,7 кв.м.), </w:t>
                  </w:r>
                  <w:proofErr w:type="spell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мусоросборная</w:t>
                  </w:r>
                  <w:proofErr w:type="spell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камера (7,4 кв.м),  лифтовой холл (12,9 кв.м),  помещение хранения люминесцентных ламп (44,7 кв.м),  </w:t>
                  </w:r>
                  <w:proofErr w:type="spell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электрощитовая</w:t>
                  </w:r>
                  <w:proofErr w:type="spell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(11,0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помещение офиса №1 (80,3 кв.м), помещения офиса №2 (127, 5 кв.м.), помещения офиса №3 (219,4 кв.м).</w:t>
                  </w:r>
                </w:p>
                <w:p w:rsidR="002177C1" w:rsidRPr="005D57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 второго</w:t>
                  </w:r>
                  <w:r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 двадцать шестой  этажи корпуса 2  расположены квартиры.</w:t>
                  </w:r>
                </w:p>
                <w:p w:rsidR="002177C1" w:rsidRPr="005D57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верхнем техническом этаже корпуса 2 расположены: коридор (53,9 кв.м.), машинное помещение лифтов (37,0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), тамбур (13,2 кв.м), балкон (5,8 кв.м), лестничная клетка (17,5 кв.м), технический чердак (625,0 кв.м). </w:t>
                  </w:r>
                </w:p>
                <w:p w:rsidR="002177C1" w:rsidRPr="005D57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кровле корпуса </w:t>
                  </w:r>
                  <w:r w:rsidR="00D3249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расположены: лестничная клетка (17,5 кв.м).</w:t>
                  </w:r>
                </w:p>
                <w:p w:rsidR="0044601F" w:rsidRPr="005D57A3" w:rsidRDefault="00D3249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подземном гараже (автостоянка) корпуса 5 расположены: лестничная клетка (13,26 кв</w:t>
                  </w:r>
                  <w:proofErr w:type="gram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 лестничная клетка (13,26 кв.м),  </w:t>
                  </w:r>
                  <w:proofErr w:type="spellStart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венткамера</w:t>
                  </w:r>
                  <w:proofErr w:type="spellEnd"/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(24,9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санузел (2,22 кв.м), помещение уборочного инвентаря (4,86 кв.м), </w:t>
                  </w:r>
                  <w:proofErr w:type="spellStart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венткамера</w:t>
                  </w:r>
                  <w:proofErr w:type="spellEnd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(22,0 кв.м),</w:t>
                  </w:r>
                  <w:r w:rsidR="003223D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3223D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электрощитовая</w:t>
                  </w:r>
                  <w:proofErr w:type="spellEnd"/>
                  <w:r w:rsidR="003223D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(9,99 кв.м), </w:t>
                  </w:r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автостоянка на 96 </w:t>
                  </w:r>
                  <w:proofErr w:type="spellStart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машиномест</w:t>
                  </w:r>
                  <w:proofErr w:type="spellEnd"/>
                  <w:r w:rsidR="004460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(2556, 69 кв.м), помещение насосной (4,18 кв.м), ИТП (18,78 кв.м), водомерный узел (9, 25 кв.м).</w:t>
                  </w:r>
                </w:p>
                <w:p w:rsidR="00CD1145" w:rsidRPr="00D72929" w:rsidRDefault="00D3249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CD114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="00CD114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30AA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D114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E26DE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26DED" w:rsidRPr="00D7292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встроенные помещения и подземн</w:t>
                  </w:r>
                  <w:r w:rsidR="00D72929" w:rsidRPr="00D7292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 автостоянка</w:t>
                  </w:r>
                  <w:r w:rsidR="00030AAF" w:rsidRPr="00D7292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9F58ED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Состав общего имущества в </w:t>
                  </w:r>
                  <w:r w:rsidR="00F3345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объекте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строительства.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.2. </w:t>
                  </w:r>
                  <w:r w:rsidR="0097291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Холл</w:t>
                  </w:r>
                  <w:r w:rsidR="00F3345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лифтов</w:t>
                  </w:r>
                  <w:r w:rsidR="00C333A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ой</w:t>
                  </w:r>
                  <w:r w:rsidR="00F33452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холл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7D3E76" w:rsidRPr="00105FA5" w:rsidRDefault="00016CC9" w:rsidP="00B46C8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.3. 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Вспомогательные (технические) площади, обеспечивающие эксплуатацию здания </w:t>
                  </w:r>
                  <w:r w:rsidR="00972910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72910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котельная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водомерный уз</w:t>
                  </w:r>
                  <w:r w:rsidR="00F33452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ел, венткамеры, лифтов</w:t>
                  </w:r>
                  <w:r w:rsidR="00C333A5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="00F33452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шахт</w:t>
                  </w:r>
                  <w:r w:rsidR="00C333A5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</w:t>
                  </w:r>
                  <w:r w:rsidR="00972910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технический этаж</w:t>
                  </w:r>
                  <w:r w:rsidR="00F33452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.4. Внутридомовые системы и оборудование, обеспечивающие эксплуатацию здания: системы отопления, ВиК, электроосвещение, сети с</w:t>
                  </w:r>
                  <w:r w:rsidR="001D37E5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вязи и телекоммуникаций, лифт 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B3EF8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.5. </w:t>
                  </w:r>
                  <w:r w:rsidR="00026616"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</w:t>
                  </w:r>
                  <w:r w:rsidRPr="00105FA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нутриплощадочные инженерные сети и инженерные объекты (или части объектов), обеспечивающие устойчивую эксплуатацию площадей: теплоснабжение, электроснабжение, водоснабжение (ввод питьевого водопровода от магистрали до водомерного узла, водомерный узел, противопожарный водопровод), канализация, телекоммуникации.</w:t>
                  </w:r>
                </w:p>
                <w:p w:rsidR="00016CC9" w:rsidRPr="005D57A3" w:rsidRDefault="00016CC9" w:rsidP="00AD059B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Предполагаемый срок получения разрешения на ввод в эксплуатацию строящегося многоквартирного дома: </w:t>
                  </w:r>
                </w:p>
                <w:p w:rsidR="00016CC9" w:rsidRPr="00A92418" w:rsidRDefault="002C449E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92418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</w:t>
                  </w:r>
                  <w:r w:rsidR="005410B1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V</w:t>
                  </w:r>
                  <w:r w:rsidRPr="00A92418">
                    <w:rPr>
                      <w:rFonts w:ascii="Verdana" w:hAnsi="Verdana"/>
                      <w:sz w:val="20"/>
                      <w:szCs w:val="20"/>
                    </w:rPr>
                    <w:t xml:space="preserve">  квартал</w:t>
                  </w:r>
                  <w:proofErr w:type="gramEnd"/>
                  <w:r w:rsidRPr="00A92418">
                    <w:rPr>
                      <w:rFonts w:ascii="Verdana" w:hAnsi="Verdana"/>
                      <w:sz w:val="20"/>
                      <w:szCs w:val="20"/>
                    </w:rPr>
                    <w:t xml:space="preserve"> 201</w:t>
                  </w:r>
                  <w:r w:rsidR="00A92418"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  <w:r w:rsidRPr="00A92418">
                    <w:rPr>
                      <w:rFonts w:ascii="Verdana" w:hAnsi="Verdana"/>
                      <w:sz w:val="20"/>
                      <w:szCs w:val="20"/>
                    </w:rPr>
                    <w:t xml:space="preserve"> года</w:t>
                  </w:r>
                  <w:r w:rsidRPr="00A9241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111E06" w:rsidRPr="00E03AC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DB3EF8" w:rsidRPr="00E03AC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20</w:t>
                  </w:r>
                  <w:r w:rsidRPr="00E03ACD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</w:t>
                  </w:r>
                </w:p>
                <w:p w:rsidR="00016CC9" w:rsidRPr="005D57A3" w:rsidRDefault="00111E0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Застройщик - ООО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65217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Заказчик -  </w:t>
                  </w:r>
                  <w:r w:rsidR="009A029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&lt;Норманн</w:t>
                  </w:r>
                  <w:r w:rsidR="00111E0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-Заказчик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Проектировщик - ООО &lt;</w:t>
                  </w:r>
                  <w:proofErr w:type="spellStart"/>
                  <w:r w:rsidR="0077029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Румпу</w:t>
                  </w:r>
                  <w:proofErr w:type="spellEnd"/>
                  <w:r w:rsidR="0077029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</w:t>
                  </w:r>
                  <w:proofErr w:type="spellStart"/>
                  <w:r w:rsidR="0077029C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</w:t>
                  </w:r>
                  <w:proofErr w:type="spellEnd"/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подрядчик - </w:t>
                  </w:r>
                  <w:r w:rsidR="009A0290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&lt;</w:t>
                  </w:r>
                  <w:r w:rsidR="00592836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Норманн-Строй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Служба государственного строительного надзора Санкт-Петербурга</w:t>
                  </w:r>
                  <w:r w:rsidR="007D4653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A92418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21.</w:t>
                  </w:r>
                  <w:r w:rsidR="005E708F" w:rsidRPr="005D57A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Возможные финансовые и прочие риски при осуществлении проекта строительства:</w:t>
                  </w:r>
                  <w:r w:rsidR="005E708F"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E708F" w:rsidRPr="005D57A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br/>
                  </w:r>
                  <w:r w:rsidR="005E708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DB3EF8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5D57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1D37E5" w:rsidRPr="005D57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</w:p>
                <w:p w:rsidR="00016CC9" w:rsidRPr="00867163" w:rsidRDefault="001D37E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DB3EF8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Планируемая стоимость строительства </w:t>
                  </w:r>
                  <w:r w:rsidR="00D24698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объекта</w:t>
                  </w:r>
                  <w:r w:rsidR="00016CC9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5D57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Согласно смете проекта строительства </w:t>
                  </w:r>
                  <w:r w:rsidR="000067D5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1 487 351 000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65471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один миллиард четыреста восемьдесят семь миллионов триста пятьдесят одна тысяча</w:t>
                  </w: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) рублей. </w:t>
                  </w:r>
                </w:p>
                <w:p w:rsidR="00016CC9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867163" w:rsidRDefault="00867163" w:rsidP="00867163">
                  <w:pPr>
                    <w:spacing w:after="0" w:line="240" w:lineRule="auto"/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</w:pPr>
                  <w:r w:rsidRPr="00C96621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ЗАО  &lt;С</w:t>
                  </w:r>
                  <w:r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троительный трест №28</w:t>
                  </w:r>
                  <w:r w:rsidRPr="00C96621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&gt; - устройство свайного основания из буронабивных свай;</w:t>
                  </w:r>
                </w:p>
                <w:p w:rsidR="00315A30" w:rsidRDefault="00315A30" w:rsidP="00315A30">
                  <w:pPr>
                    <w:spacing w:after="0" w:line="240" w:lineRule="auto"/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 xml:space="preserve">ЗАО </w:t>
                  </w:r>
                  <w:r w:rsidRPr="00C96621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&lt;С</w:t>
                  </w:r>
                  <w:r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СК</w:t>
                  </w:r>
                  <w:r w:rsidRPr="00C96621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&gt; -</w:t>
                  </w:r>
                  <w:r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 xml:space="preserve"> земляные работы</w:t>
                  </w:r>
                  <w:r w:rsidRPr="00C96621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;</w:t>
                  </w:r>
                </w:p>
                <w:p w:rsidR="006D63F7" w:rsidRDefault="006D63F7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8050D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&lt;Петербургская строительная компания&gt;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ЗАО ИСК</w:t>
                  </w:r>
                  <w:r w:rsidRPr="008050D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Прогресс</w:t>
                  </w:r>
                  <w:r w:rsidRPr="00C96621"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  <w:t>&gt;</w:t>
                  </w:r>
                  <w:r w:rsidRPr="008050D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- устройство монолитного </w:t>
                  </w:r>
                  <w:r w:rsidRPr="008050D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>каркаса и монтаж сборных ЖБК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устройство наружных стен</w:t>
                  </w:r>
                  <w:r w:rsidRPr="008050D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 </w:t>
                  </w:r>
                </w:p>
                <w:p w:rsidR="003324CE" w:rsidRPr="003324CE" w:rsidRDefault="003324CE" w:rsidP="006D63F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</w:t>
                  </w:r>
                  <w:r w:rsidRPr="00266B9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Строитель</w:t>
                  </w:r>
                  <w:r w:rsidRPr="00266B9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- устройство перегородок.</w:t>
                  </w:r>
                </w:p>
                <w:p w:rsidR="006D63F7" w:rsidRDefault="006D63F7" w:rsidP="00315A30">
                  <w:pPr>
                    <w:spacing w:after="0" w:line="240" w:lineRule="auto"/>
                    <w:rPr>
                      <w:rFonts w:ascii="Verdana" w:eastAsia="Times New Roman" w:hAnsi="Verdana"/>
                      <w:color w:val="000000" w:themeColor="text1"/>
                      <w:sz w:val="19"/>
                      <w:szCs w:val="19"/>
                      <w:lang w:eastAsia="ru-RU"/>
                    </w:rPr>
                  </w:pPr>
                </w:p>
                <w:p w:rsidR="00016CC9" w:rsidRPr="0086716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867163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8B2EED" w:rsidRDefault="009B7A0A" w:rsidP="009853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24.1 </w:t>
                  </w:r>
                  <w:r w:rsidR="009853A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Залог земельного участка, предоставленного для строительства (создания) многоквартирного дома, принадлежащего застройщику на праве собственности,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</w:t>
                  </w:r>
                  <w:proofErr w:type="gramStart"/>
                  <w:r w:rsidR="009853A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&lt;О</w:t>
                  </w:r>
                  <w:proofErr w:type="gramEnd"/>
                  <w:r w:rsidR="009853A4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</w:t>
                  </w:r>
                </w:p>
                <w:p w:rsidR="009853A4" w:rsidRPr="005F5A09" w:rsidRDefault="008B2EED" w:rsidP="009853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F5A0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24.2.</w:t>
                  </w:r>
                  <w:r w:rsidR="009853A4" w:rsidRPr="005F5A0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F5A0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</w:t>
                  </w:r>
                  <w:r w:rsidRPr="005F5A09">
                    <w:rPr>
                      <w:rFonts w:ascii="Verdana" w:hAnsi="Verdana"/>
                      <w:sz w:val="20"/>
                      <w:szCs w:val="20"/>
                    </w:rPr>
                    <w:t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</w:t>
                  </w:r>
                </w:p>
                <w:p w:rsidR="00016CC9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F09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5E708F" w:rsidRPr="005F09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5F09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 </w:t>
                  </w:r>
                  <w:r w:rsidR="006D15BB" w:rsidRPr="005F09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77F22" w:rsidRDefault="005F0998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 заключались</w:t>
                  </w: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977F22" w:rsidRDefault="00977F22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5D57A3" w:rsidRDefault="00B46C88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директор ООО 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-Центр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                   </w:t>
                  </w:r>
                  <w:r w:rsidR="00702F1F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                     </w:t>
                  </w:r>
                  <w:r w:rsidR="00A4641B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Копытин Н.Л.</w:t>
                  </w:r>
                  <w:r w:rsidR="00016CC9" w:rsidRPr="005D57A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DB3EF8" w:rsidRPr="005D57A3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DB3EF8" w:rsidRPr="005D57A3" w:rsidRDefault="00DB3EF8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6CC9" w:rsidRPr="005D57A3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</w:tr>
    </w:tbl>
    <w:p w:rsidR="003C4AE8" w:rsidRPr="005D57A3" w:rsidRDefault="003C4AE8" w:rsidP="00B46C88">
      <w:pPr>
        <w:pStyle w:val="a4"/>
        <w:ind w:right="-1"/>
        <w:jc w:val="both"/>
        <w:rPr>
          <w:color w:val="auto"/>
          <w:sz w:val="20"/>
          <w:szCs w:val="20"/>
        </w:rPr>
      </w:pPr>
    </w:p>
    <w:sectPr w:rsidR="003C4AE8" w:rsidRPr="005D57A3" w:rsidSect="00FD29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DE6" w:rsidRDefault="005F5DE6" w:rsidP="00055D0E">
      <w:pPr>
        <w:spacing w:after="0" w:line="240" w:lineRule="auto"/>
      </w:pPr>
      <w:r>
        <w:separator/>
      </w:r>
    </w:p>
  </w:endnote>
  <w:endnote w:type="continuationSeparator" w:id="0">
    <w:p w:rsidR="005F5DE6" w:rsidRDefault="005F5DE6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B9" w:rsidRDefault="00F14B7B">
    <w:pPr>
      <w:pStyle w:val="a8"/>
      <w:jc w:val="center"/>
    </w:pPr>
    <w:fldSimple w:instr=" PAGE   \* MERGEFORMAT ">
      <w:r w:rsidR="00266B92">
        <w:rPr>
          <w:noProof/>
        </w:rPr>
        <w:t>2</w:t>
      </w:r>
    </w:fldSimple>
  </w:p>
  <w:p w:rsidR="002108B9" w:rsidRDefault="002108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DE6" w:rsidRDefault="005F5DE6" w:rsidP="00055D0E">
      <w:pPr>
        <w:spacing w:after="0" w:line="240" w:lineRule="auto"/>
      </w:pPr>
      <w:r>
        <w:separator/>
      </w:r>
    </w:p>
  </w:footnote>
  <w:footnote w:type="continuationSeparator" w:id="0">
    <w:p w:rsidR="005F5DE6" w:rsidRDefault="005F5DE6" w:rsidP="0005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9CE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0042A"/>
    <w:multiLevelType w:val="multilevel"/>
    <w:tmpl w:val="CD5CC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9D66A33"/>
    <w:multiLevelType w:val="singleLevel"/>
    <w:tmpl w:val="F81846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>
    <w:nsid w:val="1A8B715C"/>
    <w:multiLevelType w:val="hybridMultilevel"/>
    <w:tmpl w:val="678489C6"/>
    <w:lvl w:ilvl="0" w:tplc="EFBA54B0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EA2ED2"/>
    <w:multiLevelType w:val="multilevel"/>
    <w:tmpl w:val="BA10B2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0DB2C9E"/>
    <w:multiLevelType w:val="hybridMultilevel"/>
    <w:tmpl w:val="D7A46E3C"/>
    <w:lvl w:ilvl="0" w:tplc="050E48E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bullet"/>
      <w:lvlText w:val="o"/>
      <w:lvlJc w:val="left"/>
      <w:pPr>
        <w:tabs>
          <w:tab w:val="num" w:pos="2104"/>
        </w:tabs>
        <w:ind w:left="2104" w:hanging="360"/>
      </w:pPr>
    </w:lvl>
    <w:lvl w:ilvl="2" w:tplc="04190005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</w:lvl>
    <w:lvl w:ilvl="3" w:tplc="0419000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</w:lvl>
    <w:lvl w:ilvl="4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</w:lvl>
    <w:lvl w:ilvl="5" w:tplc="04190005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</w:lvl>
    <w:lvl w:ilvl="6" w:tplc="0419000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</w:lvl>
    <w:lvl w:ilvl="7" w:tplc="04190003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</w:lvl>
    <w:lvl w:ilvl="8" w:tplc="04190005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</w:lvl>
  </w:abstractNum>
  <w:abstractNum w:abstractNumId="7">
    <w:nsid w:val="4ECD6455"/>
    <w:multiLevelType w:val="hybridMultilevel"/>
    <w:tmpl w:val="B8FC4062"/>
    <w:lvl w:ilvl="0" w:tplc="EFBA54B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8728C"/>
    <w:multiLevelType w:val="multilevel"/>
    <w:tmpl w:val="4D981E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FFC"/>
    <w:rsid w:val="0000174D"/>
    <w:rsid w:val="00005B8E"/>
    <w:rsid w:val="000067D5"/>
    <w:rsid w:val="0001656F"/>
    <w:rsid w:val="00016CC9"/>
    <w:rsid w:val="00017B87"/>
    <w:rsid w:val="000213CB"/>
    <w:rsid w:val="00022CCD"/>
    <w:rsid w:val="0002370E"/>
    <w:rsid w:val="00026616"/>
    <w:rsid w:val="000268CA"/>
    <w:rsid w:val="00030AAF"/>
    <w:rsid w:val="000374B3"/>
    <w:rsid w:val="00046A0B"/>
    <w:rsid w:val="00046CB0"/>
    <w:rsid w:val="000543A1"/>
    <w:rsid w:val="00055D0E"/>
    <w:rsid w:val="0006734D"/>
    <w:rsid w:val="000713D7"/>
    <w:rsid w:val="00076574"/>
    <w:rsid w:val="0009555D"/>
    <w:rsid w:val="000A0405"/>
    <w:rsid w:val="000A1259"/>
    <w:rsid w:val="000A2805"/>
    <w:rsid w:val="000A4D28"/>
    <w:rsid w:val="000B41A4"/>
    <w:rsid w:val="000C3A68"/>
    <w:rsid w:val="000C66FE"/>
    <w:rsid w:val="000D0C15"/>
    <w:rsid w:val="000D43E1"/>
    <w:rsid w:val="000F5753"/>
    <w:rsid w:val="00105FA5"/>
    <w:rsid w:val="00110170"/>
    <w:rsid w:val="00110280"/>
    <w:rsid w:val="00111E06"/>
    <w:rsid w:val="0011684F"/>
    <w:rsid w:val="00123559"/>
    <w:rsid w:val="00127C3A"/>
    <w:rsid w:val="00127E96"/>
    <w:rsid w:val="00132C05"/>
    <w:rsid w:val="00140F0A"/>
    <w:rsid w:val="00150462"/>
    <w:rsid w:val="0015565C"/>
    <w:rsid w:val="00164A66"/>
    <w:rsid w:val="001659C6"/>
    <w:rsid w:val="00170261"/>
    <w:rsid w:val="00182FD5"/>
    <w:rsid w:val="00186A5B"/>
    <w:rsid w:val="00194495"/>
    <w:rsid w:val="001B045B"/>
    <w:rsid w:val="001B056A"/>
    <w:rsid w:val="001C022F"/>
    <w:rsid w:val="001D37E5"/>
    <w:rsid w:val="001D6D13"/>
    <w:rsid w:val="001E1C2B"/>
    <w:rsid w:val="001E665B"/>
    <w:rsid w:val="001F27E0"/>
    <w:rsid w:val="00201D2E"/>
    <w:rsid w:val="00207DD1"/>
    <w:rsid w:val="002108B9"/>
    <w:rsid w:val="002177C1"/>
    <w:rsid w:val="00224E07"/>
    <w:rsid w:val="0024322E"/>
    <w:rsid w:val="0024796F"/>
    <w:rsid w:val="00251173"/>
    <w:rsid w:val="002536D0"/>
    <w:rsid w:val="00253FFC"/>
    <w:rsid w:val="0025528A"/>
    <w:rsid w:val="00264AD6"/>
    <w:rsid w:val="00266B92"/>
    <w:rsid w:val="00267590"/>
    <w:rsid w:val="00267F06"/>
    <w:rsid w:val="002A0750"/>
    <w:rsid w:val="002C03DD"/>
    <w:rsid w:val="002C1E22"/>
    <w:rsid w:val="002C3CDF"/>
    <w:rsid w:val="002C449E"/>
    <w:rsid w:val="002C5820"/>
    <w:rsid w:val="002C7333"/>
    <w:rsid w:val="002D7754"/>
    <w:rsid w:val="002E6004"/>
    <w:rsid w:val="002F229D"/>
    <w:rsid w:val="002F64E9"/>
    <w:rsid w:val="0030439E"/>
    <w:rsid w:val="00307BE6"/>
    <w:rsid w:val="00315A30"/>
    <w:rsid w:val="0031675B"/>
    <w:rsid w:val="003223D1"/>
    <w:rsid w:val="00332258"/>
    <w:rsid w:val="003324CE"/>
    <w:rsid w:val="00333434"/>
    <w:rsid w:val="00336B21"/>
    <w:rsid w:val="003372D1"/>
    <w:rsid w:val="00343E78"/>
    <w:rsid w:val="003462D5"/>
    <w:rsid w:val="00350B44"/>
    <w:rsid w:val="00350FE3"/>
    <w:rsid w:val="00352036"/>
    <w:rsid w:val="00364054"/>
    <w:rsid w:val="0037162D"/>
    <w:rsid w:val="00373AC3"/>
    <w:rsid w:val="00377280"/>
    <w:rsid w:val="0038370C"/>
    <w:rsid w:val="003A6EEB"/>
    <w:rsid w:val="003B05C8"/>
    <w:rsid w:val="003C4AE8"/>
    <w:rsid w:val="003C4C75"/>
    <w:rsid w:val="003C707D"/>
    <w:rsid w:val="003D5A67"/>
    <w:rsid w:val="003E20CE"/>
    <w:rsid w:val="003E5E08"/>
    <w:rsid w:val="003F7434"/>
    <w:rsid w:val="00403B4F"/>
    <w:rsid w:val="00404B8C"/>
    <w:rsid w:val="00407A98"/>
    <w:rsid w:val="00413CEE"/>
    <w:rsid w:val="004170FE"/>
    <w:rsid w:val="00426A13"/>
    <w:rsid w:val="00434AC6"/>
    <w:rsid w:val="0043645A"/>
    <w:rsid w:val="00443C28"/>
    <w:rsid w:val="0044601F"/>
    <w:rsid w:val="00446BF6"/>
    <w:rsid w:val="00451D1A"/>
    <w:rsid w:val="004614A5"/>
    <w:rsid w:val="00464FB4"/>
    <w:rsid w:val="004659B3"/>
    <w:rsid w:val="004814B4"/>
    <w:rsid w:val="00481A63"/>
    <w:rsid w:val="004854C9"/>
    <w:rsid w:val="00485731"/>
    <w:rsid w:val="004907AA"/>
    <w:rsid w:val="00490EEB"/>
    <w:rsid w:val="004A3F6B"/>
    <w:rsid w:val="004A5013"/>
    <w:rsid w:val="004C6224"/>
    <w:rsid w:val="004E0920"/>
    <w:rsid w:val="004E4B0F"/>
    <w:rsid w:val="004E4CA6"/>
    <w:rsid w:val="005077A6"/>
    <w:rsid w:val="00513B0F"/>
    <w:rsid w:val="005175E8"/>
    <w:rsid w:val="00521E8E"/>
    <w:rsid w:val="0052395D"/>
    <w:rsid w:val="0052679B"/>
    <w:rsid w:val="00527274"/>
    <w:rsid w:val="005301DC"/>
    <w:rsid w:val="005410B1"/>
    <w:rsid w:val="005458B6"/>
    <w:rsid w:val="00550143"/>
    <w:rsid w:val="005513E7"/>
    <w:rsid w:val="00553067"/>
    <w:rsid w:val="00554729"/>
    <w:rsid w:val="00564A87"/>
    <w:rsid w:val="0056537C"/>
    <w:rsid w:val="005703A1"/>
    <w:rsid w:val="00572A10"/>
    <w:rsid w:val="00575C4E"/>
    <w:rsid w:val="00577CF4"/>
    <w:rsid w:val="005865AA"/>
    <w:rsid w:val="00587033"/>
    <w:rsid w:val="00592836"/>
    <w:rsid w:val="005939E4"/>
    <w:rsid w:val="005A2C75"/>
    <w:rsid w:val="005B32D7"/>
    <w:rsid w:val="005C1381"/>
    <w:rsid w:val="005C7AB4"/>
    <w:rsid w:val="005D57A3"/>
    <w:rsid w:val="005E2870"/>
    <w:rsid w:val="005E708F"/>
    <w:rsid w:val="005F0998"/>
    <w:rsid w:val="005F5A09"/>
    <w:rsid w:val="005F5DE6"/>
    <w:rsid w:val="00600F3D"/>
    <w:rsid w:val="00601B98"/>
    <w:rsid w:val="00622001"/>
    <w:rsid w:val="0063051F"/>
    <w:rsid w:val="00630AA8"/>
    <w:rsid w:val="00631D23"/>
    <w:rsid w:val="0065064D"/>
    <w:rsid w:val="00652176"/>
    <w:rsid w:val="00652B7D"/>
    <w:rsid w:val="00654711"/>
    <w:rsid w:val="0067562E"/>
    <w:rsid w:val="006978C2"/>
    <w:rsid w:val="006B357F"/>
    <w:rsid w:val="006C5B05"/>
    <w:rsid w:val="006D15BB"/>
    <w:rsid w:val="006D63F7"/>
    <w:rsid w:val="006D6435"/>
    <w:rsid w:val="006E0B22"/>
    <w:rsid w:val="006F0E6E"/>
    <w:rsid w:val="006F1615"/>
    <w:rsid w:val="006F6CFE"/>
    <w:rsid w:val="00702F1F"/>
    <w:rsid w:val="00703FAB"/>
    <w:rsid w:val="00707342"/>
    <w:rsid w:val="0071283E"/>
    <w:rsid w:val="00715462"/>
    <w:rsid w:val="0072167D"/>
    <w:rsid w:val="00726A38"/>
    <w:rsid w:val="007306FC"/>
    <w:rsid w:val="00732E61"/>
    <w:rsid w:val="00741560"/>
    <w:rsid w:val="00744EF8"/>
    <w:rsid w:val="00766ED6"/>
    <w:rsid w:val="0077029C"/>
    <w:rsid w:val="00772A1F"/>
    <w:rsid w:val="0077651A"/>
    <w:rsid w:val="00782687"/>
    <w:rsid w:val="00787F53"/>
    <w:rsid w:val="00790B62"/>
    <w:rsid w:val="007A1A33"/>
    <w:rsid w:val="007B3021"/>
    <w:rsid w:val="007B4F66"/>
    <w:rsid w:val="007B7A02"/>
    <w:rsid w:val="007C2DFB"/>
    <w:rsid w:val="007C779C"/>
    <w:rsid w:val="007C77A3"/>
    <w:rsid w:val="007D2C41"/>
    <w:rsid w:val="007D3E76"/>
    <w:rsid w:val="007D4653"/>
    <w:rsid w:val="007D58B6"/>
    <w:rsid w:val="007D5E3B"/>
    <w:rsid w:val="007E0B9B"/>
    <w:rsid w:val="007E7B09"/>
    <w:rsid w:val="007F2C0F"/>
    <w:rsid w:val="007F6B6D"/>
    <w:rsid w:val="00802C86"/>
    <w:rsid w:val="008032FA"/>
    <w:rsid w:val="008071DC"/>
    <w:rsid w:val="0081624A"/>
    <w:rsid w:val="008219ED"/>
    <w:rsid w:val="008333AD"/>
    <w:rsid w:val="00833505"/>
    <w:rsid w:val="00834C55"/>
    <w:rsid w:val="00843381"/>
    <w:rsid w:val="0084564B"/>
    <w:rsid w:val="00854EE6"/>
    <w:rsid w:val="00855716"/>
    <w:rsid w:val="008618FC"/>
    <w:rsid w:val="00867163"/>
    <w:rsid w:val="00877BB5"/>
    <w:rsid w:val="00881267"/>
    <w:rsid w:val="008A039C"/>
    <w:rsid w:val="008A26F6"/>
    <w:rsid w:val="008A3A3C"/>
    <w:rsid w:val="008B2EED"/>
    <w:rsid w:val="008C682B"/>
    <w:rsid w:val="008E2A85"/>
    <w:rsid w:val="008F5F84"/>
    <w:rsid w:val="00910620"/>
    <w:rsid w:val="0091330B"/>
    <w:rsid w:val="009144DC"/>
    <w:rsid w:val="00923F56"/>
    <w:rsid w:val="0093514D"/>
    <w:rsid w:val="009409B1"/>
    <w:rsid w:val="0094464B"/>
    <w:rsid w:val="009519C7"/>
    <w:rsid w:val="009529B8"/>
    <w:rsid w:val="00972910"/>
    <w:rsid w:val="00974E5D"/>
    <w:rsid w:val="009770C8"/>
    <w:rsid w:val="00977F18"/>
    <w:rsid w:val="00977F22"/>
    <w:rsid w:val="009853A4"/>
    <w:rsid w:val="00985B70"/>
    <w:rsid w:val="0099083B"/>
    <w:rsid w:val="009918CC"/>
    <w:rsid w:val="009A027C"/>
    <w:rsid w:val="009A0290"/>
    <w:rsid w:val="009A3616"/>
    <w:rsid w:val="009A5B72"/>
    <w:rsid w:val="009B7A0A"/>
    <w:rsid w:val="009D04F4"/>
    <w:rsid w:val="009F1978"/>
    <w:rsid w:val="009F58ED"/>
    <w:rsid w:val="00A00ED9"/>
    <w:rsid w:val="00A024FF"/>
    <w:rsid w:val="00A0310D"/>
    <w:rsid w:val="00A159F7"/>
    <w:rsid w:val="00A25391"/>
    <w:rsid w:val="00A30C3C"/>
    <w:rsid w:val="00A31E7E"/>
    <w:rsid w:val="00A32D1D"/>
    <w:rsid w:val="00A448C0"/>
    <w:rsid w:val="00A45F66"/>
    <w:rsid w:val="00A4641B"/>
    <w:rsid w:val="00A47351"/>
    <w:rsid w:val="00A51053"/>
    <w:rsid w:val="00A67F34"/>
    <w:rsid w:val="00A713A7"/>
    <w:rsid w:val="00A76098"/>
    <w:rsid w:val="00A779F3"/>
    <w:rsid w:val="00A84DC6"/>
    <w:rsid w:val="00A92418"/>
    <w:rsid w:val="00A9413B"/>
    <w:rsid w:val="00AA3499"/>
    <w:rsid w:val="00AB4861"/>
    <w:rsid w:val="00AB4CB5"/>
    <w:rsid w:val="00AB7CC6"/>
    <w:rsid w:val="00AC2FE4"/>
    <w:rsid w:val="00AD059B"/>
    <w:rsid w:val="00AD4D87"/>
    <w:rsid w:val="00B022F6"/>
    <w:rsid w:val="00B1006D"/>
    <w:rsid w:val="00B13F55"/>
    <w:rsid w:val="00B20887"/>
    <w:rsid w:val="00B2112C"/>
    <w:rsid w:val="00B2264F"/>
    <w:rsid w:val="00B30DB8"/>
    <w:rsid w:val="00B32F98"/>
    <w:rsid w:val="00B33240"/>
    <w:rsid w:val="00B361A6"/>
    <w:rsid w:val="00B4301F"/>
    <w:rsid w:val="00B46C88"/>
    <w:rsid w:val="00B549FE"/>
    <w:rsid w:val="00B5544D"/>
    <w:rsid w:val="00B921F0"/>
    <w:rsid w:val="00B96E23"/>
    <w:rsid w:val="00B97BE2"/>
    <w:rsid w:val="00BA64BC"/>
    <w:rsid w:val="00BB287C"/>
    <w:rsid w:val="00BB724D"/>
    <w:rsid w:val="00BC1786"/>
    <w:rsid w:val="00BC2639"/>
    <w:rsid w:val="00BC3064"/>
    <w:rsid w:val="00BC717C"/>
    <w:rsid w:val="00BD2287"/>
    <w:rsid w:val="00BD4796"/>
    <w:rsid w:val="00BE0EFA"/>
    <w:rsid w:val="00BE26B6"/>
    <w:rsid w:val="00BF14D4"/>
    <w:rsid w:val="00BF2439"/>
    <w:rsid w:val="00BF3E51"/>
    <w:rsid w:val="00BF4724"/>
    <w:rsid w:val="00C03C2F"/>
    <w:rsid w:val="00C13765"/>
    <w:rsid w:val="00C13F6E"/>
    <w:rsid w:val="00C17EC4"/>
    <w:rsid w:val="00C220BF"/>
    <w:rsid w:val="00C26966"/>
    <w:rsid w:val="00C26BE8"/>
    <w:rsid w:val="00C30357"/>
    <w:rsid w:val="00C31710"/>
    <w:rsid w:val="00C333A5"/>
    <w:rsid w:val="00C33E77"/>
    <w:rsid w:val="00C45BB0"/>
    <w:rsid w:val="00C55A37"/>
    <w:rsid w:val="00C57B7A"/>
    <w:rsid w:val="00C60011"/>
    <w:rsid w:val="00C60D0B"/>
    <w:rsid w:val="00C76BDF"/>
    <w:rsid w:val="00C82CE6"/>
    <w:rsid w:val="00C837C8"/>
    <w:rsid w:val="00C9017E"/>
    <w:rsid w:val="00C91403"/>
    <w:rsid w:val="00C929DE"/>
    <w:rsid w:val="00CA62FB"/>
    <w:rsid w:val="00CB12ED"/>
    <w:rsid w:val="00CC0B24"/>
    <w:rsid w:val="00CC1D50"/>
    <w:rsid w:val="00CD1145"/>
    <w:rsid w:val="00CD4529"/>
    <w:rsid w:val="00CE50A3"/>
    <w:rsid w:val="00CF1B8D"/>
    <w:rsid w:val="00CF32B4"/>
    <w:rsid w:val="00CF413A"/>
    <w:rsid w:val="00D00051"/>
    <w:rsid w:val="00D03517"/>
    <w:rsid w:val="00D05A2B"/>
    <w:rsid w:val="00D074FE"/>
    <w:rsid w:val="00D16257"/>
    <w:rsid w:val="00D24698"/>
    <w:rsid w:val="00D31649"/>
    <w:rsid w:val="00D32496"/>
    <w:rsid w:val="00D41BA3"/>
    <w:rsid w:val="00D46031"/>
    <w:rsid w:val="00D512A6"/>
    <w:rsid w:val="00D72929"/>
    <w:rsid w:val="00D731FB"/>
    <w:rsid w:val="00D824E8"/>
    <w:rsid w:val="00DA2151"/>
    <w:rsid w:val="00DA65A8"/>
    <w:rsid w:val="00DA6825"/>
    <w:rsid w:val="00DB3EF8"/>
    <w:rsid w:val="00DB7171"/>
    <w:rsid w:val="00DB78DE"/>
    <w:rsid w:val="00DC40D8"/>
    <w:rsid w:val="00DC62E4"/>
    <w:rsid w:val="00DD54B0"/>
    <w:rsid w:val="00DE1AFD"/>
    <w:rsid w:val="00DE2D63"/>
    <w:rsid w:val="00DE3755"/>
    <w:rsid w:val="00DF1706"/>
    <w:rsid w:val="00DF2BF2"/>
    <w:rsid w:val="00DF37DF"/>
    <w:rsid w:val="00E03ACD"/>
    <w:rsid w:val="00E03DC4"/>
    <w:rsid w:val="00E0558B"/>
    <w:rsid w:val="00E12612"/>
    <w:rsid w:val="00E13BEC"/>
    <w:rsid w:val="00E248DE"/>
    <w:rsid w:val="00E269F7"/>
    <w:rsid w:val="00E26DED"/>
    <w:rsid w:val="00E622DD"/>
    <w:rsid w:val="00E7163B"/>
    <w:rsid w:val="00E920AA"/>
    <w:rsid w:val="00E97624"/>
    <w:rsid w:val="00EA469E"/>
    <w:rsid w:val="00EB15F4"/>
    <w:rsid w:val="00EB4F6E"/>
    <w:rsid w:val="00EF021C"/>
    <w:rsid w:val="00EF149E"/>
    <w:rsid w:val="00EF6291"/>
    <w:rsid w:val="00F0227E"/>
    <w:rsid w:val="00F059B4"/>
    <w:rsid w:val="00F14B7B"/>
    <w:rsid w:val="00F235FD"/>
    <w:rsid w:val="00F2490D"/>
    <w:rsid w:val="00F31474"/>
    <w:rsid w:val="00F33452"/>
    <w:rsid w:val="00F33972"/>
    <w:rsid w:val="00F4551F"/>
    <w:rsid w:val="00F51699"/>
    <w:rsid w:val="00F53622"/>
    <w:rsid w:val="00F6105D"/>
    <w:rsid w:val="00F6315E"/>
    <w:rsid w:val="00F64759"/>
    <w:rsid w:val="00F76581"/>
    <w:rsid w:val="00F820D0"/>
    <w:rsid w:val="00F84DEE"/>
    <w:rsid w:val="00F9098D"/>
    <w:rsid w:val="00FA159A"/>
    <w:rsid w:val="00FA2D30"/>
    <w:rsid w:val="00FA3B08"/>
    <w:rsid w:val="00FB1BD0"/>
    <w:rsid w:val="00FC6DFC"/>
    <w:rsid w:val="00FC7ECD"/>
    <w:rsid w:val="00FD294B"/>
    <w:rsid w:val="00FD3CC4"/>
    <w:rsid w:val="00FE06AF"/>
    <w:rsid w:val="00FE297C"/>
    <w:rsid w:val="00FE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643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6018-77CB-4BC2-A536-B38CC9EE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Tsiulina</cp:lastModifiedBy>
  <cp:revision>3</cp:revision>
  <cp:lastPrinted>2014-03-17T11:09:00Z</cp:lastPrinted>
  <dcterms:created xsi:type="dcterms:W3CDTF">2014-11-06T07:50:00Z</dcterms:created>
  <dcterms:modified xsi:type="dcterms:W3CDTF">2014-11-06T07:51:00Z</dcterms:modified>
</cp:coreProperties>
</file>