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43" w:rsidRDefault="00A54F4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A54F43" w:rsidRDefault="0075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№_________</w:t>
      </w:r>
    </w:p>
    <w:p w:rsidR="00A54F43" w:rsidRDefault="0075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участия в долевом строительстве </w:t>
      </w:r>
    </w:p>
    <w:p w:rsidR="00A54F43" w:rsidRDefault="00A5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Ленинградская область,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 20___ г.</w:t>
      </w:r>
    </w:p>
    <w:p w:rsidR="00A54F43" w:rsidRDefault="0075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Всеволожский муниципальный район</w:t>
      </w:r>
    </w:p>
    <w:p w:rsidR="00A54F43" w:rsidRDefault="00751A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Щегловское сельское поселение</w:t>
      </w:r>
      <w:r>
        <w:rPr>
          <w:rFonts w:ascii="Times New Roman" w:eastAsia="Times New Roman" w:hAnsi="Times New Roman" w:cs="Times New Roman"/>
        </w:rPr>
        <w:t xml:space="preserve"> </w:t>
      </w:r>
    </w:p>
    <w:p w:rsidR="00A54F43" w:rsidRDefault="00A54F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СПЕЦИАЛИЗИРОВАННЫЙ ЗАСТРОЙЩИК «АЛГОРИТМ ДЕВЕЛОПМЕНТ»,</w:t>
      </w:r>
      <w:r>
        <w:rPr>
          <w:rFonts w:ascii="Times New Roman" w:eastAsia="Times New Roman" w:hAnsi="Times New Roman" w:cs="Times New Roman"/>
        </w:rPr>
        <w:t xml:space="preserve"> ИНН 7842055902, местонахождение: 194354 Санкт-Петербург ул. Есенина дом 1 корпус 1 лит. А офис 47Н, зарегистрированное за основным государственным регистрационны</w:t>
      </w:r>
      <w:r>
        <w:rPr>
          <w:rFonts w:ascii="Times New Roman" w:eastAsia="Times New Roman" w:hAnsi="Times New Roman" w:cs="Times New Roman"/>
        </w:rPr>
        <w:t xml:space="preserve">м номером (ОГРН) 1157847270217, именуемое в дальнейшем </w:t>
      </w:r>
      <w:r>
        <w:rPr>
          <w:rFonts w:ascii="Times New Roman" w:eastAsia="Times New Roman" w:hAnsi="Times New Roman" w:cs="Times New Roman"/>
          <w:b/>
        </w:rPr>
        <w:t>“Застройщик”</w:t>
      </w:r>
      <w:r>
        <w:rPr>
          <w:rFonts w:ascii="Times New Roman" w:eastAsia="Times New Roman" w:hAnsi="Times New Roman" w:cs="Times New Roman"/>
        </w:rPr>
        <w:t>, в лице генерального директора Самсонова Олега Ивановича, действующего на основании Устава, с одной стороны, и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b/>
        </w:rPr>
        <w:t>Гражданин РФ _____________,</w:t>
      </w:r>
      <w:r>
        <w:rPr>
          <w:rFonts w:ascii="Times New Roman" w:eastAsia="Times New Roman" w:hAnsi="Times New Roman" w:cs="Times New Roman"/>
        </w:rPr>
        <w:t xml:space="preserve"> пол - __________, дата рождения – __________ г</w:t>
      </w:r>
      <w:r>
        <w:rPr>
          <w:rFonts w:ascii="Times New Roman" w:eastAsia="Times New Roman" w:hAnsi="Times New Roman" w:cs="Times New Roman"/>
        </w:rPr>
        <w:t xml:space="preserve">ода, место рождения- __________, паспорт серия _____ №_________, выдан __________________ года, код подразделения _________, зарегистрированный по адресу: __________________, именуемый в дальнейшем </w:t>
      </w:r>
      <w:r>
        <w:rPr>
          <w:rFonts w:ascii="Times New Roman" w:eastAsia="Times New Roman" w:hAnsi="Times New Roman" w:cs="Times New Roman"/>
          <w:b/>
        </w:rPr>
        <w:t>"Участник долевого строительства"</w:t>
      </w:r>
      <w:r>
        <w:rPr>
          <w:rFonts w:ascii="Times New Roman" w:eastAsia="Times New Roman" w:hAnsi="Times New Roman" w:cs="Times New Roman"/>
        </w:rPr>
        <w:t>,  именуемый в дальнейшем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"Участник долевого строительства"</w:t>
      </w:r>
      <w:r>
        <w:rPr>
          <w:rFonts w:ascii="Times New Roman" w:eastAsia="Times New Roman" w:hAnsi="Times New Roman" w:cs="Times New Roman"/>
        </w:rPr>
        <w:t>, с другой стороны, все вместе именуемые в дальнейшем "Стороны", заключили настоящий Договор о нижеследующем: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Застройщик обязуется в предусмотренный Договором срок своими силами и (или) с привлечен</w:t>
      </w:r>
      <w:r>
        <w:rPr>
          <w:rFonts w:ascii="Times New Roman" w:eastAsia="Times New Roman" w:hAnsi="Times New Roman" w:cs="Times New Roman"/>
        </w:rPr>
        <w:t xml:space="preserve">ием других лиц построить на земельном участке площадью 2 121 +/-16 кв. м, находящемся по адресу: </w:t>
      </w:r>
      <w:r>
        <w:rPr>
          <w:rFonts w:ascii="Times New Roman" w:eastAsia="Times New Roman" w:hAnsi="Times New Roman" w:cs="Times New Roman"/>
          <w:b/>
        </w:rPr>
        <w:t>Российская Федерация, Ленинградская область, Всеволожский муниципальный район, муниципальное образование Щегловское сельское поселение, посёлок Щеглово, кадаст</w:t>
      </w:r>
      <w:r>
        <w:rPr>
          <w:rFonts w:ascii="Times New Roman" w:eastAsia="Times New Roman" w:hAnsi="Times New Roman" w:cs="Times New Roman"/>
          <w:b/>
        </w:rPr>
        <w:t>ровый номер 47:07:0912007:105</w:t>
      </w:r>
      <w:r>
        <w:rPr>
          <w:rFonts w:ascii="Times New Roman" w:eastAsia="Times New Roman" w:hAnsi="Times New Roman" w:cs="Times New Roman"/>
        </w:rPr>
        <w:t xml:space="preserve"> (далее – </w:t>
      </w:r>
      <w:r>
        <w:rPr>
          <w:rFonts w:ascii="Times New Roman" w:eastAsia="Times New Roman" w:hAnsi="Times New Roman" w:cs="Times New Roman"/>
          <w:b/>
        </w:rPr>
        <w:t>«Земельный участок»</w:t>
      </w:r>
      <w:r>
        <w:rPr>
          <w:rFonts w:ascii="Times New Roman" w:eastAsia="Times New Roman" w:hAnsi="Times New Roman" w:cs="Times New Roman"/>
        </w:rPr>
        <w:t xml:space="preserve">), среднеэтажный жилой дом (далее – «Объект») и, после получения разрешения на ввод Объекта в эксплуатацию, передать в собственность Участнику долевого строительства объект долевого строительства - </w:t>
      </w:r>
      <w:r>
        <w:rPr>
          <w:rFonts w:ascii="Times New Roman" w:eastAsia="Times New Roman" w:hAnsi="Times New Roman" w:cs="Times New Roman"/>
        </w:rPr>
        <w:t>квартиру, основные характеристики которой определены пунктом 1.2 настоящего Договора, а Участник долевого строительства обязуется уплатить обусловленную настоящим Договором цену и принять Квартиру по акту приема-передачи.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Основные характеристики Объек</w:t>
      </w:r>
      <w:r>
        <w:rPr>
          <w:rFonts w:ascii="Times New Roman" w:eastAsia="Times New Roman" w:hAnsi="Times New Roman" w:cs="Times New Roman"/>
        </w:rPr>
        <w:t>та и Квартиры: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1.2.1 Основные характеристики Объекта: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количество этажей -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корпус-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проектная площадь (Площадь Застройки)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наружных стен и каркаса объекта: железобетонные стеновые панели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поэтажных перекрытий - монолитные железо</w:t>
      </w:r>
      <w:r>
        <w:rPr>
          <w:rFonts w:ascii="Times New Roman" w:eastAsia="Times New Roman" w:hAnsi="Times New Roman" w:cs="Times New Roman"/>
        </w:rPr>
        <w:t>бетонные плиты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 энергоэффективности - В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класс сейсмостойкости 5 и менее баллов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1.2.2. Основные характеристики Квартиры: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Назначение объекта долевого строительства: жилое помещение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квартиры (условный):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Этаж: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Подъезд: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Количество комнат: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площадь: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Жилая площадь: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Площадь комнаты-1 (кв.м.):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Количество помещений вспомогательного использования: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Площадь помещений вспомогательного использования (кв.м.):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Кухня: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Коридор: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Санузел: кв.м.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Строительные оси: ______________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Приведенная площадь балкона: кв.м. </w:t>
      </w:r>
    </w:p>
    <w:p w:rsidR="00A54F43" w:rsidRDefault="00751AD0">
      <w:pPr>
        <w:widowControl w:val="0"/>
        <w:tabs>
          <w:tab w:val="left" w:pos="0"/>
          <w:tab w:val="left" w:pos="540"/>
          <w:tab w:val="left" w:pos="720"/>
          <w:tab w:val="left" w:pos="851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1.2.3. Расположение Квартиры в Объекте отражено на графическом плане, отображающем расположение по отношению друг к другу частей Квартиры (комнат, помещений вспомогательного использования</w:t>
      </w:r>
      <w:r>
        <w:rPr>
          <w:rFonts w:ascii="Times New Roman" w:eastAsia="Times New Roman" w:hAnsi="Times New Roman" w:cs="Times New Roman"/>
        </w:rPr>
        <w:t xml:space="preserve">, балконов), местоположение Квартиры на этаже Объекта, который прилагается к настоящему Договору и является его неотъемлемой. Расположение дверных и оконных проемов, инженерного и иного оборудования в Квартире указаны ориентировочно, фактическое их </w:t>
      </w:r>
      <w:r>
        <w:rPr>
          <w:rFonts w:ascii="Times New Roman" w:eastAsia="Times New Roman" w:hAnsi="Times New Roman" w:cs="Times New Roman"/>
        </w:rPr>
        <w:lastRenderedPageBreak/>
        <w:t>местопо</w:t>
      </w:r>
      <w:r>
        <w:rPr>
          <w:rFonts w:ascii="Times New Roman" w:eastAsia="Times New Roman" w:hAnsi="Times New Roman" w:cs="Times New Roman"/>
        </w:rPr>
        <w:t>ложение, форма и размеры, могут быть уточнены Застройщиком в результате проведения строительных работ в соответствии с проектной документацией. Состав инженерного и иного оборудования в Квартире отражается в Приложении №2 к Договору.</w:t>
      </w:r>
    </w:p>
    <w:p w:rsidR="00A54F43" w:rsidRDefault="0075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1.2.4. Общая площадь К</w:t>
      </w:r>
      <w:r>
        <w:rPr>
          <w:rFonts w:ascii="Times New Roman" w:eastAsia="Times New Roman" w:hAnsi="Times New Roman" w:cs="Times New Roman"/>
        </w:rPr>
        <w:t>вартиры (в т.ч. комнат, помещений вспомогательного использования), приведенная площадь балкона, номер квартиры, указанные в настоящем пункте, являются проектными и подлежат уточнению на основании документов (технических планов), подготовленных специализиро</w:t>
      </w:r>
      <w:r>
        <w:rPr>
          <w:rFonts w:ascii="Times New Roman" w:eastAsia="Times New Roman" w:hAnsi="Times New Roman" w:cs="Times New Roman"/>
        </w:rPr>
        <w:t>ванной организацией (кадастровым инженером) для проведения кадастрового учета.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По соглашению сторон в Квартире, указанной в п. 1.2 настоящего Договора, Застройщик выполняет отделочные работы, перечисленные в Приложении № 1 к настоящему Договору, стоим</w:t>
      </w:r>
      <w:r>
        <w:rPr>
          <w:rFonts w:ascii="Times New Roman" w:eastAsia="Times New Roman" w:hAnsi="Times New Roman" w:cs="Times New Roman"/>
        </w:rPr>
        <w:t>ость которых включается в размер денежных средств, подлежащих уплате Участником долевого строительства согласно п. 4.1 Договора.</w:t>
      </w:r>
    </w:p>
    <w:p w:rsidR="00A54F43" w:rsidRDefault="00751A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Условие привлечения денежных средств участников долевого строительства для строительства Объекта:</w:t>
      </w:r>
      <w:r>
        <w:rPr>
          <w:rFonts w:ascii="Times New Roman" w:eastAsia="Times New Roman" w:hAnsi="Times New Roman" w:cs="Times New Roman"/>
          <w:color w:val="000000"/>
        </w:rPr>
        <w:t xml:space="preserve"> размещение денежных средств участников долевого строительства на счетах эскроу в порядке, предусмотренном </w:t>
      </w:r>
      <w:hyperlink r:id="rId6">
        <w:r>
          <w:rPr>
            <w:rFonts w:ascii="Times New Roman" w:eastAsia="Times New Roman" w:hAnsi="Times New Roman" w:cs="Times New Roman"/>
            <w:color w:val="000000"/>
          </w:rPr>
          <w:t>статьей 15.4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Федерального закона от 30.12.2004 № 214-ФЗ «Об участии в долевом строительстве многоквартирных домов и ин</w:t>
      </w:r>
      <w:r>
        <w:rPr>
          <w:rFonts w:ascii="Times New Roman" w:eastAsia="Times New Roman" w:hAnsi="Times New Roman" w:cs="Times New Roman"/>
          <w:color w:val="000000"/>
        </w:rPr>
        <w:t>ых объектов недвижимости и о внесении изменений в некоторые законодательные акты Российской Федерации» (далее – Закон №214-ФЗ).</w:t>
      </w:r>
    </w:p>
    <w:p w:rsidR="00A54F43" w:rsidRDefault="00751A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силу того, что оплата стоимости Объекта долевого строительства осуществляется с использованием счета эскроу, залог в силу зако</w:t>
      </w:r>
      <w:r>
        <w:rPr>
          <w:rFonts w:ascii="Times New Roman" w:eastAsia="Times New Roman" w:hAnsi="Times New Roman" w:cs="Times New Roman"/>
          <w:color w:val="000000"/>
        </w:rPr>
        <w:t xml:space="preserve">на на предоставленный для строительства земельный участок и строящийся на этом участке Объект в пользу участников долевого строительства на основании ч. 4 ст. 15.4 Закона № 214-ФЗ </w:t>
      </w:r>
      <w:r>
        <w:rPr>
          <w:rFonts w:ascii="Times New Roman" w:eastAsia="Times New Roman" w:hAnsi="Times New Roman" w:cs="Times New Roman"/>
          <w:b/>
          <w:color w:val="000000"/>
        </w:rPr>
        <w:t>не устанавливается.</w:t>
      </w:r>
    </w:p>
    <w:p w:rsidR="00A54F43" w:rsidRDefault="00A54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ПРАВОВОЕ ОБОСНОВАНИЕ ЗАКЛЮЧЕНИЯ ДОГОВОРА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Настоя</w:t>
      </w:r>
      <w:r>
        <w:rPr>
          <w:rFonts w:ascii="Times New Roman" w:eastAsia="Times New Roman" w:hAnsi="Times New Roman" w:cs="Times New Roman"/>
        </w:rPr>
        <w:t>щий Договор заключен в соответствии с Гражданским Кодексом Российской Федерации, Жилищным кодексом Российской Федерации, Законом №214-ФЗ.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Основанием для заключения настоящего Договора являются: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2.2.1. Договор №01/АИ аренды муниципального имущества от </w:t>
      </w:r>
      <w:r>
        <w:rPr>
          <w:rFonts w:ascii="Times New Roman" w:eastAsia="Times New Roman" w:hAnsi="Times New Roman" w:cs="Times New Roman"/>
        </w:rPr>
        <w:t>21 мая 2021 года, заключенный между Застройщиком и Администрацией муниципального образования «Щегловское сельское поселение» Всеволожского муниципального района Ленинградской области, зарегистрированный Управлением Федеральной службы государственной регист</w:t>
      </w:r>
      <w:r>
        <w:rPr>
          <w:rFonts w:ascii="Times New Roman" w:eastAsia="Times New Roman" w:hAnsi="Times New Roman" w:cs="Times New Roman"/>
        </w:rPr>
        <w:t>рации, кадастра и картографии по Ленинградской области в ЕГРН 08 июня 2021 года за №47:07:0912007:105-47/060/2021-2, на основании которого Застройщику принадлежит право аренды Земельного участка сроком на 6 лет с даты подписания акта приема-передачи Земель</w:t>
      </w:r>
      <w:r>
        <w:rPr>
          <w:rFonts w:ascii="Times New Roman" w:eastAsia="Times New Roman" w:hAnsi="Times New Roman" w:cs="Times New Roman"/>
        </w:rPr>
        <w:t>ного участка;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 Разрешение на строительство № 47-RU47504311-022К-2022, выданное 04 марта 2022 года Комитетом государственного строительного надзора и государственной экспертизы Ленинградской области;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2.2.3. Проектная декларация Объекта размещена Застр</w:t>
      </w:r>
      <w:r>
        <w:rPr>
          <w:rFonts w:ascii="Times New Roman" w:eastAsia="Times New Roman" w:hAnsi="Times New Roman" w:cs="Times New Roman"/>
        </w:rPr>
        <w:t>ойщиком в Единой информационной системе жилищного строительства на официальном сайте в сети «Интернет» по адресу: https://наш.дом.рф/.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ИМУЩЕСТВЕННЫЕ ПРАВА СТОРОН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После завершения строительства Объекта и получения разрешения на ввод Объекта в эксплу</w:t>
      </w:r>
      <w:r>
        <w:rPr>
          <w:rFonts w:ascii="Times New Roman" w:eastAsia="Times New Roman" w:hAnsi="Times New Roman" w:cs="Times New Roman"/>
        </w:rPr>
        <w:t>атацию, при условии выполнения Участником долевого строительства всех условий настоящего Договора, Застройщик передает, а Участник долевого строительства принимает Квартиру, указанную в п. 1.2 настоящего Договора, по акту приема-передачи для оформления в с</w:t>
      </w:r>
      <w:r>
        <w:rPr>
          <w:rFonts w:ascii="Times New Roman" w:eastAsia="Times New Roman" w:hAnsi="Times New Roman" w:cs="Times New Roman"/>
        </w:rPr>
        <w:t xml:space="preserve">обственность.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порядке. Одновременно при регистрации права собственности </w:t>
      </w:r>
      <w:r>
        <w:rPr>
          <w:rFonts w:ascii="Times New Roman" w:eastAsia="Times New Roman" w:hAnsi="Times New Roman" w:cs="Times New Roman"/>
        </w:rPr>
        <w:t>на Квартиру у Участников долевого строительства возникает доля в праве собственности на общее имущество в Объекте, которая не может быть отчуждена или передана отдельно от права собственности на Квартиру.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долевого строительства самостоятельно за свой счет осуществляет государственную регистрацию права собственности на Квартиру.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Застройщик гарантирует, что права на Квартиру, указанную в п.1.2. настоящего Договора, не находятся под залогом, арес</w:t>
      </w:r>
      <w:r>
        <w:rPr>
          <w:rFonts w:ascii="Times New Roman" w:eastAsia="Times New Roman" w:hAnsi="Times New Roman" w:cs="Times New Roman"/>
        </w:rPr>
        <w:t>том, не обременены другими способами, предусмотренными действующим законодательством Российской Федерации.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Подписанием настоящего Договора Участники долевого строительства выражают (дают) свое согласие на размежевание (т.е. раздел, изменение размеров </w:t>
      </w:r>
      <w:r>
        <w:rPr>
          <w:rFonts w:ascii="Times New Roman" w:eastAsia="Times New Roman" w:hAnsi="Times New Roman" w:cs="Times New Roman"/>
        </w:rPr>
        <w:t>и границ) земельного  участка на котором строится Объект, в соответствии с ПМТ, проектом планировки, проектом межевания, градостроительным планом и любой иной документацией согласованной и утвержденной органами местного управления (органами субъекта РФ), а</w:t>
      </w:r>
      <w:r>
        <w:rPr>
          <w:rFonts w:ascii="Times New Roman" w:eastAsia="Times New Roman" w:hAnsi="Times New Roman" w:cs="Times New Roman"/>
        </w:rPr>
        <w:t xml:space="preserve"> также на регистрацию права собственности Застройщика на вновь образованные в результате размежевания участки, не занимаемые Объектом. При этом, в случае необходимости обеспечения свободного доступа участника долевого строительства </w:t>
      </w:r>
      <w:r>
        <w:rPr>
          <w:rFonts w:ascii="Times New Roman" w:eastAsia="Times New Roman" w:hAnsi="Times New Roman" w:cs="Times New Roman"/>
        </w:rPr>
        <w:lastRenderedPageBreak/>
        <w:t>к объектам недвижимого и</w:t>
      </w:r>
      <w:r>
        <w:rPr>
          <w:rFonts w:ascii="Times New Roman" w:eastAsia="Times New Roman" w:hAnsi="Times New Roman" w:cs="Times New Roman"/>
        </w:rPr>
        <w:t>мущества, входящим в состав Объекта и/или на земельный участок, на котором расположен Объект, Застройщик обязуется установить на своем прилегающем земельном участке сервитут (предоставить право прохода и проезда) в пользу Участника долевого строительства.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Участник долевого строительства дает Застройщику согласие производить по усмотрению Застройщика межевание указанного выше земельного участка, изменение его границ и\или раздел на участки меньшего размера, ипотеку права аренды указанного выше земельног</w:t>
      </w:r>
      <w:r>
        <w:rPr>
          <w:rFonts w:ascii="Times New Roman" w:eastAsia="Times New Roman" w:hAnsi="Times New Roman" w:cs="Times New Roman"/>
        </w:rPr>
        <w:t>о участка или образовавшихся при его разделе земельных участков в пользу любых банков. 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РАЗМЕР, ПОРЯДОК И СРОКИ УПЛАТЫ ДЕНЕЖНЫХ СРЕДСТВ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По соглашению Сторон размер денежных средств, подлежащих уплате Участником долевого строительства, составляет </w:t>
      </w:r>
      <w:r>
        <w:rPr>
          <w:rFonts w:ascii="Times New Roman" w:eastAsia="Times New Roman" w:hAnsi="Times New Roman" w:cs="Times New Roman"/>
          <w:b/>
        </w:rPr>
        <w:t>__</w:t>
      </w:r>
      <w:r>
        <w:rPr>
          <w:rFonts w:ascii="Times New Roman" w:eastAsia="Times New Roman" w:hAnsi="Times New Roman" w:cs="Times New Roman"/>
          <w:b/>
        </w:rPr>
        <w:t>__________ (________________) рублей 00 копеек</w:t>
      </w:r>
      <w:r>
        <w:rPr>
          <w:rFonts w:ascii="Times New Roman" w:eastAsia="Times New Roman" w:hAnsi="Times New Roman" w:cs="Times New Roman"/>
        </w:rPr>
        <w:t xml:space="preserve">, (далее – Цена Договора), включая стоимость отделочных работ, предусмотренных пунктом 1.3 настоящего Договора. Для целей настоящего Договора стоимость за 1 кв.м. общей площади Квартиры определяется в сумме  </w:t>
      </w:r>
      <w:r>
        <w:rPr>
          <w:rFonts w:ascii="Times New Roman" w:eastAsia="Times New Roman" w:hAnsi="Times New Roman" w:cs="Times New Roman"/>
          <w:b/>
        </w:rPr>
        <w:t>__</w:t>
      </w:r>
      <w:r>
        <w:rPr>
          <w:rFonts w:ascii="Times New Roman" w:eastAsia="Times New Roman" w:hAnsi="Times New Roman" w:cs="Times New Roman"/>
          <w:b/>
        </w:rPr>
        <w:t xml:space="preserve">_______ (___________________) рублей 00 коп.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Договора является окончательной и может быть изменена только в случаях и в порядке, предусмотренных настоящим Договором и действующим законодательством.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Участник долевого строительства производит оплату Цены Договора в следующем порядке:</w:t>
      </w:r>
    </w:p>
    <w:p w:rsidR="00A54F43" w:rsidRDefault="00751A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  <w:tab w:val="left" w:pos="851"/>
          <w:tab w:val="left" w:pos="9923"/>
        </w:tabs>
        <w:spacing w:after="0" w:line="240" w:lineRule="auto"/>
        <w:ind w:right="594"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платеж в размере </w:t>
      </w:r>
      <w:r>
        <w:rPr>
          <w:rFonts w:ascii="Times New Roman" w:eastAsia="Times New Roman" w:hAnsi="Times New Roman" w:cs="Times New Roman"/>
          <w:b/>
          <w:color w:val="000000"/>
        </w:rPr>
        <w:t>____________ (_____________) рублей 00 копеек</w:t>
      </w:r>
      <w:r>
        <w:rPr>
          <w:rFonts w:ascii="Times New Roman" w:eastAsia="Times New Roman" w:hAnsi="Times New Roman" w:cs="Times New Roman"/>
          <w:color w:val="000000"/>
        </w:rPr>
        <w:t xml:space="preserve"> осуществляется Участником долевого строительства за счет собственных средств.</w:t>
      </w:r>
    </w:p>
    <w:p w:rsidR="00A54F43" w:rsidRDefault="00751AD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</w:rPr>
        <w:t xml:space="preserve">4.3. </w:t>
      </w:r>
      <w:r>
        <w:rPr>
          <w:rFonts w:ascii="Times New Roman" w:eastAsia="Times New Roman" w:hAnsi="Times New Roman" w:cs="Times New Roman"/>
          <w:color w:val="212121"/>
        </w:rPr>
        <w:t xml:space="preserve">Участник долевого </w:t>
      </w:r>
      <w:r>
        <w:rPr>
          <w:rFonts w:ascii="Times New Roman" w:eastAsia="Times New Roman" w:hAnsi="Times New Roman" w:cs="Times New Roman"/>
          <w:color w:val="212121"/>
        </w:rPr>
        <w:t>строительства  обязуется внести денежные средства 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</w:t>
      </w:r>
      <w:r>
        <w:rPr>
          <w:rFonts w:ascii="Times New Roman" w:eastAsia="Times New Roman" w:hAnsi="Times New Roman" w:cs="Times New Roman"/>
          <w:color w:val="212121"/>
        </w:rPr>
        <w:t>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</w:t>
      </w:r>
      <w:r>
        <w:rPr>
          <w:rFonts w:ascii="Times New Roman" w:eastAsia="Times New Roman" w:hAnsi="Times New Roman" w:cs="Times New Roman"/>
          <w:color w:val="212121"/>
        </w:rPr>
        <w:t>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</w:t>
      </w:r>
      <w:r>
        <w:rPr>
          <w:rFonts w:ascii="Times New Roman" w:eastAsia="Times New Roman" w:hAnsi="Times New Roman" w:cs="Times New Roman"/>
          <w:color w:val="212121"/>
        </w:rPr>
        <w:t>ом, Депонентом и Эскроу-агентом, с учетом следующего:</w:t>
      </w:r>
    </w:p>
    <w:p w:rsidR="00A54F43" w:rsidRDefault="00751AD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b/>
        </w:rPr>
        <w:t xml:space="preserve">Депонент </w:t>
      </w:r>
      <w:r>
        <w:rPr>
          <w:rFonts w:ascii="Times New Roman" w:eastAsia="Times New Roman" w:hAnsi="Times New Roman" w:cs="Times New Roman"/>
        </w:rPr>
        <w:t>– Участник долевого строительства</w:t>
      </w:r>
    </w:p>
    <w:p w:rsidR="00A54F43" w:rsidRDefault="00751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12121"/>
        </w:rPr>
        <w:t>Эскроу-агент:</w:t>
      </w:r>
      <w:r>
        <w:rPr>
          <w:rFonts w:ascii="Times New Roman" w:eastAsia="Times New Roman" w:hAnsi="Times New Roman" w:cs="Times New Roman"/>
          <w:color w:val="212121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Escrow_Sbe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rbank@sberbank.ru</w:t>
        </w:r>
      </w:hyperlink>
      <w:r>
        <w:rPr>
          <w:rFonts w:ascii="Times New Roman" w:eastAsia="Times New Roman" w:hAnsi="Times New Roman" w:cs="Times New Roman"/>
          <w:color w:val="212121"/>
        </w:rPr>
        <w:t>, номер телефона: 900 – для мобильных, 8800 555 55 50 – для мобильных и городских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54F43" w:rsidRDefault="00751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Бенефициар </w:t>
      </w:r>
      <w:r>
        <w:rPr>
          <w:rFonts w:ascii="Times New Roman" w:eastAsia="Times New Roman" w:hAnsi="Times New Roman" w:cs="Times New Roman"/>
          <w:color w:val="000000"/>
        </w:rPr>
        <w:t>– Общество с ограниченной ответственностью «СПЕЦИАЛИЗИРОВАННЫЙ ЗАСТРОЙЩИК «АЛГОРИТМ ДЕВЕЛОПМЕНТ», ОГРН 1157847270217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Сумма депонирования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Срок перечисления суммы депонирования – </w:t>
      </w:r>
      <w:r>
        <w:rPr>
          <w:rFonts w:ascii="Times New Roman" w:eastAsia="Times New Roman" w:hAnsi="Times New Roman" w:cs="Times New Roman"/>
        </w:rPr>
        <w:t xml:space="preserve">5 (пять) рабочих дней с даты фактического получения Договора с отметкой о его государственной регистрации в регистрирующем органе.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Срок условного депонирования - </w:t>
      </w:r>
      <w:r>
        <w:rPr>
          <w:rFonts w:ascii="Times New Roman" w:eastAsia="Times New Roman" w:hAnsi="Times New Roman" w:cs="Times New Roman"/>
          <w:highlight w:val="yellow"/>
        </w:rPr>
        <w:t>по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«30» сентября 2023 года (включительно)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Сумма депонирования с эскроу счета перечисляется</w:t>
      </w:r>
      <w:r>
        <w:rPr>
          <w:rFonts w:ascii="Times New Roman" w:eastAsia="Times New Roman" w:hAnsi="Times New Roman" w:cs="Times New Roman"/>
        </w:rPr>
        <w:t xml:space="preserve"> Уполномоченным банком на Счет Бенефициара не позднее 10 (десяти) рабочих дней после представления Бенефициаром разрешения на ввод в эксплуатацию Объекта или сведений о размещении указанной информации в Едино</w:t>
      </w:r>
      <w:r>
        <w:rPr>
          <w:rFonts w:ascii="Times New Roman" w:eastAsia="Times New Roman" w:hAnsi="Times New Roman" w:cs="Times New Roman"/>
        </w:rPr>
        <w:t xml:space="preserve">й информационной системе жилищного строительства. 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Бенефициар и Депонент предлагают (адресуют оферты) Эскроу-агенту заключить трехсторонний Договор счета-эскроу на условиях настоящего Договора и Правил совершения операций по счетам-эскроу физических лиц в </w:t>
      </w:r>
      <w:r>
        <w:rPr>
          <w:rFonts w:ascii="Times New Roman" w:eastAsia="Times New Roman" w:hAnsi="Times New Roman" w:cs="Times New Roman"/>
        </w:rPr>
        <w:t xml:space="preserve">Банке ПАО Сбербанк, открытым для расчетов по договорам об участии в долевом строительстве» (далее – Правила), путем открытия Эскроу-агентом счета-эскроу в порядке, предусмотренном Правилами. 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Заключая настоящий Договор, Бенефициар и Депонент выражают свое </w:t>
      </w:r>
      <w:r>
        <w:rPr>
          <w:rFonts w:ascii="Times New Roman" w:eastAsia="Times New Roman" w:hAnsi="Times New Roman" w:cs="Times New Roman"/>
        </w:rPr>
        <w:t>намерение считать себя заключившими Договор счета-эскроу на условиях настоящего Договора и Правил в случае открытия Эскроу-агентом счета-эскроу в порядке, предусмотренном Правилами.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Бенефициар поручает (предоставляет полномочия) Депоненту передать Эскроу-а</w:t>
      </w:r>
      <w:r>
        <w:rPr>
          <w:rFonts w:ascii="Times New Roman" w:eastAsia="Times New Roman" w:hAnsi="Times New Roman" w:cs="Times New Roman"/>
        </w:rPr>
        <w:t>генту от имени Бенефициара подлинный экземпляр настоящего Договора, заключенного (зарегистрированного) в установленном действующим законодательством порядке, с отметкой органа регистрации прав о государственной регистрации, в качестве документа, содержащег</w:t>
      </w:r>
      <w:r>
        <w:rPr>
          <w:rFonts w:ascii="Times New Roman" w:eastAsia="Times New Roman" w:hAnsi="Times New Roman" w:cs="Times New Roman"/>
        </w:rPr>
        <w:t>о оферту Бенефициара о заключении Договора счета-эскроу.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Основанием для перечисления Застройщику (Бенефициару) Депонированной суммы является предоставление Бенефициаром в Банк следующих документов: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разрешение на ввод в эксплуатацию Объекта, либо</w:t>
      </w:r>
    </w:p>
    <w:p w:rsidR="00A54F43" w:rsidRDefault="00751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сведен</w:t>
      </w:r>
      <w:r>
        <w:rPr>
          <w:rFonts w:ascii="Times New Roman" w:eastAsia="Times New Roman" w:hAnsi="Times New Roman" w:cs="Times New Roman"/>
        </w:rPr>
        <w:t>ия о размещении в Единой информационной системе жилищного строительства вышеуказанной информации.</w:t>
      </w:r>
    </w:p>
    <w:p w:rsidR="00A54F43" w:rsidRDefault="00751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Обязанность Участника долевого строительства по уплате, обусловленной Договором цены, считается исполненной с момента поступления денежных средств на отк</w:t>
      </w:r>
      <w:r>
        <w:rPr>
          <w:rFonts w:ascii="Times New Roman" w:eastAsia="Times New Roman" w:hAnsi="Times New Roman" w:cs="Times New Roman"/>
          <w:color w:val="000000"/>
        </w:rPr>
        <w:t>рытый в уполномоченном банке счет эскроу. При непоступлении денежных средств соответствующий счет эскроу в указанные в Договоре сроки, Участник долевого строительства считается нарушившим обязательство по оплате Цены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В случае досрочного ввод</w:t>
      </w:r>
      <w:r>
        <w:rPr>
          <w:rFonts w:ascii="Times New Roman" w:eastAsia="Times New Roman" w:hAnsi="Times New Roman" w:cs="Times New Roman"/>
        </w:rPr>
        <w:t>а Объекта в эксплуатацию, Участник долевого строительства производит взаиморасчеты по Договору в течение 10 дней с момента получения уведомления Застройщика о получении разрешения на ввод Объекта в эксплуатацию.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ПРАВА И ОБЯЗАННОСТИ СТОРОН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Права и обязанности Участника долевого строительства: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5.1.1. Участник долевого строительства обязан полностью оплатить Цену Договора (внести денежные средства) в размере, порядке и сроки, предусмотренные разделом 4 настоящего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5.1.2. Стороны </w:t>
      </w:r>
      <w:r>
        <w:rPr>
          <w:rFonts w:ascii="Times New Roman" w:eastAsia="Times New Roman" w:hAnsi="Times New Roman" w:cs="Times New Roman"/>
        </w:rPr>
        <w:t>признают, что, принимая Квартиру по акту приема-передачи, Участник долевого строительства получает Квартиру во владение и пользование, в том числе доступ к потреблению услуг по электроснабжению, отоплению, холодному и горячему водоснабжению, водоотведению.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5.1.3. С момента подписания Акта приема-передачи к Участнику долевого строительства переходит риск случайной гибели и повреждения Объекта. Участник долевого строительства с момента подписания Акта приема-передачи Квартиры обязан нести бремя содержания Ква</w:t>
      </w:r>
      <w:r>
        <w:rPr>
          <w:rFonts w:ascii="Times New Roman" w:eastAsia="Times New Roman" w:hAnsi="Times New Roman" w:cs="Times New Roman"/>
        </w:rPr>
        <w:t>ртиры, в том числе производить оплату за жилое помещение (Квартиру) и коммунальные услуги в соответствии с действующим жилищным законодательством Российской Федерации. До момента заключения Участником долевого строительства договора управления многоквартир</w:t>
      </w:r>
      <w:r>
        <w:rPr>
          <w:rFonts w:ascii="Times New Roman" w:eastAsia="Times New Roman" w:hAnsi="Times New Roman" w:cs="Times New Roman"/>
        </w:rPr>
        <w:t xml:space="preserve">ным домом с управляющей организацией, отобранной по результатам открытого конкурса в порядке, установленном действующим законодательством, плата за жилое помещение и коммунальные услуги вносится Участником долевого строительства управляющей организации, с </w:t>
      </w:r>
      <w:r>
        <w:rPr>
          <w:rFonts w:ascii="Times New Roman" w:eastAsia="Times New Roman" w:hAnsi="Times New Roman" w:cs="Times New Roman"/>
        </w:rPr>
        <w:t>которой Застройщик заключит договор управления многоквартирным домом.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5.1.4. Участник долевого строительства вправе уступить и/или иным образом передать свои права (в том числе требования) по настоящему Договору в порядке, установленном Гражданским Кодексо</w:t>
      </w:r>
      <w:r>
        <w:rPr>
          <w:rFonts w:ascii="Times New Roman" w:eastAsia="Times New Roman" w:hAnsi="Times New Roman" w:cs="Times New Roman"/>
        </w:rPr>
        <w:t>м Российской Федерации. Уступка Участником долевого строительства прав и обязанностей по настоящему Договору до момента полной оплаты цены Договора и/или перевода долга на другое лицо допускается исключительно с предварительного письменного согласия Застро</w:t>
      </w:r>
      <w:r>
        <w:rPr>
          <w:rFonts w:ascii="Times New Roman" w:eastAsia="Times New Roman" w:hAnsi="Times New Roman" w:cs="Times New Roman"/>
        </w:rPr>
        <w:t>йщика. Все действия для совершения регистрации замены стороны – Участника долевого строительства по Договору производит Участник долевого строительства (или лицо, принимающее права и обязанности Участника долевого строительства) самостоятельно и за свой сч</w:t>
      </w:r>
      <w:r>
        <w:rPr>
          <w:rFonts w:ascii="Times New Roman" w:eastAsia="Times New Roman" w:hAnsi="Times New Roman" w:cs="Times New Roman"/>
        </w:rPr>
        <w:t>ет. Права и обязанности по Договору счета эскроу переходят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</w:t>
      </w:r>
      <w:r>
        <w:rPr>
          <w:rFonts w:ascii="Times New Roman" w:eastAsia="Times New Roman" w:hAnsi="Times New Roman" w:cs="Times New Roman"/>
        </w:rPr>
        <w:t xml:space="preserve"> настоящему Договору, или с момента перехода по иным основаниям прав требований по настоящему Договору.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5.1.5. Участник долевого строительства обязан своевременно, т.е. в пятидневный срок, уведомить Застройщика о любых изменениях каких-либо своих данных, у</w:t>
      </w:r>
      <w:r>
        <w:rPr>
          <w:rFonts w:ascii="Times New Roman" w:eastAsia="Times New Roman" w:hAnsi="Times New Roman" w:cs="Times New Roman"/>
        </w:rPr>
        <w:t>казанных в настоящем Договоре.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5.1.6. Участник долевого строительства обязуется своевременно совершать необходимые юридические действия, связанные с исполнением настоящего Договора, согласно действующему законодательству Российской Федерации.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5.1.7. В случ</w:t>
      </w:r>
      <w:r>
        <w:rPr>
          <w:rFonts w:ascii="Times New Roman" w:eastAsia="Times New Roman" w:hAnsi="Times New Roman" w:cs="Times New Roman"/>
        </w:rPr>
        <w:t>ае необходимости нотариального оформления документов Участника долевого строительства для заключения настоящего Договора, указанное оформление производится за счет средств Участника долевого строительства.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5.1.8. Участник долевого строительства имеет право</w:t>
      </w:r>
      <w:r>
        <w:rPr>
          <w:rFonts w:ascii="Times New Roman" w:eastAsia="Times New Roman" w:hAnsi="Times New Roman" w:cs="Times New Roman"/>
        </w:rPr>
        <w:t xml:space="preserve"> запрашивать информацию о ходе строительства Объекта, а также самостоятельно знакомиться с соответствующей информацией, размещаемой Застройщиком в Единой информационной системе жилищного строительства на сайте https://наш.дом.рф/.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5.1.9. До момента государ</w:t>
      </w:r>
      <w:r>
        <w:rPr>
          <w:rFonts w:ascii="Times New Roman" w:eastAsia="Times New Roman" w:hAnsi="Times New Roman" w:cs="Times New Roman"/>
        </w:rPr>
        <w:t>ственной регистрации права собственности Участника долевого строительства на Квартиру Участник долевого строительства обязуется не производить в Квартире работы, связанные с отступлением от проекта (перепланировка, возведение межкомнатных (внутриквартирных</w:t>
      </w:r>
      <w:r>
        <w:rPr>
          <w:rFonts w:ascii="Times New Roman" w:eastAsia="Times New Roman" w:hAnsi="Times New Roman" w:cs="Times New Roman"/>
        </w:rPr>
        <w:t>) перегородок, пробивка ниш, проемов и т.д.), работы по монтажу (демонтажу) оборудования, а также не производить в Квартире и в самом Объекте работы, которые затрагивают фасад здания и его элементы.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5.1.10. Принять от Застройщика указанную в п. 1.2 Договор</w:t>
      </w:r>
      <w:r>
        <w:rPr>
          <w:rFonts w:ascii="Times New Roman" w:eastAsia="Times New Roman" w:hAnsi="Times New Roman" w:cs="Times New Roman"/>
        </w:rPr>
        <w:t>а Квартиру по Акту приема-передачи в следующем порядке: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5.1.10.1. Застройщик не менее чем за 14 дней до наступления установленного Договором срока передачи Квартиры, направляет сообщение о завершении строительства Объекта и о готовности Квартиры к передаче</w:t>
      </w:r>
      <w:r>
        <w:rPr>
          <w:rFonts w:ascii="Times New Roman" w:eastAsia="Times New Roman" w:hAnsi="Times New Roman" w:cs="Times New Roman"/>
        </w:rPr>
        <w:t>, а также предупреждает Участника долевого строительства о необходимости принятия Квартиры и о последствиях его бездействия, предусмотренных Законом и Договором. Сообщение направляется Застройщиком по почте заказным письмом с описью вложения и уведомлением</w:t>
      </w:r>
      <w:r>
        <w:rPr>
          <w:rFonts w:ascii="Times New Roman" w:eastAsia="Times New Roman" w:hAnsi="Times New Roman" w:cs="Times New Roman"/>
        </w:rPr>
        <w:t xml:space="preserve"> о вручении по указанному Участником долевого строительства почтовому адресу или вручено Участнику долевого строительства лично под расписку.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5.1.10.2. Участник долевого строительства в течение 7 рабочих дней с момента получения уведомления Застройщика осу</w:t>
      </w:r>
      <w:r>
        <w:rPr>
          <w:rFonts w:ascii="Times New Roman" w:eastAsia="Times New Roman" w:hAnsi="Times New Roman" w:cs="Times New Roman"/>
        </w:rPr>
        <w:t>ществляет осмотр Квартиры. По результатам совместного осмотра Квартиры Участником долевого строительства и представителем Застройщика составляется Смотровая справка. Соглашением Сторон установлено, что в случае привлечения Участником долевого строительства</w:t>
      </w:r>
      <w:r>
        <w:rPr>
          <w:rFonts w:ascii="Times New Roman" w:eastAsia="Times New Roman" w:hAnsi="Times New Roman" w:cs="Times New Roman"/>
        </w:rPr>
        <w:t xml:space="preserve"> к осмотру квартиры третьих лиц, не являющихся Сторонами по Договору, такие лица допускаются к осмотру Квартиры при предоставлении Участником долевого строительства нотариально удостоверенной доверенности на участие таких лиц в осмотре Квартиры. Участник д</w:t>
      </w:r>
      <w:r>
        <w:rPr>
          <w:rFonts w:ascii="Times New Roman" w:eastAsia="Times New Roman" w:hAnsi="Times New Roman" w:cs="Times New Roman"/>
        </w:rPr>
        <w:t>олевого строительства обязан в течение 3-х рабочих дней с момента подписания Смотровой справки явиться в офис Застройщика, чтобы подписать Акт приема-передачи Квартиры. При этом период с момента осмотра Квартиры Участником долевого строительства и до его я</w:t>
      </w:r>
      <w:r>
        <w:rPr>
          <w:rFonts w:ascii="Times New Roman" w:eastAsia="Times New Roman" w:hAnsi="Times New Roman" w:cs="Times New Roman"/>
        </w:rPr>
        <w:t>вки в офис Застройщика и подписания им акта приема-передачи Квартиры не считается просрочкой со стороны Застройщика.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5.1.10.3. Участник долевого строительства до подписания Акта приема-передачи вправе указать в Смотровой справке выявленные им в ходе осмотра существенные недостатки Квартиры, которые делают Квартиру непригодной для предусмотренного настоящим Договором испо</w:t>
      </w:r>
      <w:r>
        <w:rPr>
          <w:rFonts w:ascii="Times New Roman" w:eastAsia="Times New Roman" w:hAnsi="Times New Roman" w:cs="Times New Roman"/>
        </w:rPr>
        <w:t>льзования.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устранения указанных недостатков Участник долевого строительства в течение 3-х дней с момента получения уведомления (в т. ч. по электронной почте или sms-сообщением) обязан явиться на осмотр Квартиры для подписания Смотровой справки, подтв</w:t>
      </w:r>
      <w:r>
        <w:rPr>
          <w:rFonts w:ascii="Times New Roman" w:eastAsia="Times New Roman" w:hAnsi="Times New Roman" w:cs="Times New Roman"/>
        </w:rPr>
        <w:t>ерждающей отсутствие с его стороны претензий по качеству Квартиры.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долевого строительства, при отсутствии недостатков, которые делают Квартиру непригодной для предусмотренного Договором использования, обязан в течение 3-х рабочих дней с момента по</w:t>
      </w:r>
      <w:r>
        <w:rPr>
          <w:rFonts w:ascii="Times New Roman" w:eastAsia="Times New Roman" w:hAnsi="Times New Roman" w:cs="Times New Roman"/>
        </w:rPr>
        <w:t>дписания Смотровой справки явиться в офис Застройщика и подписать Акт приема-передачи Квартиры. При этом период с момента осмотра Квартиры Участником долевого строительства и до его явки в офис Застройщика и подписания им акта приема-передачи Квартиры не с</w:t>
      </w:r>
      <w:r>
        <w:rPr>
          <w:rFonts w:ascii="Times New Roman" w:eastAsia="Times New Roman" w:hAnsi="Times New Roman" w:cs="Times New Roman"/>
        </w:rPr>
        <w:t>читается просрочкой со стороны Застройщика.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5.1.10.4. При уклонении Участника долевого строительства от принятия Квартиры в предусмотренный Договором срок для подписания акта приема-передачи или при отказе Участника долевого строительства от приемки Кварти</w:t>
      </w:r>
      <w:r>
        <w:rPr>
          <w:rFonts w:ascii="Times New Roman" w:eastAsia="Times New Roman" w:hAnsi="Times New Roman" w:cs="Times New Roman"/>
        </w:rPr>
        <w:t>ры, Застройщик по истечении двух месяцев со дня, предусмотренного Договором для передачи Квартиры Участнику долевого строительства, вправе составить односторонний акт или иной документ о передаче объекта долевого строительства. При этом обязательства по не</w:t>
      </w:r>
      <w:r>
        <w:rPr>
          <w:rFonts w:ascii="Times New Roman" w:eastAsia="Times New Roman" w:hAnsi="Times New Roman" w:cs="Times New Roman"/>
        </w:rPr>
        <w:t>сению расходов на содержание Квартиры, риск случайной гибели или порчи Квартиры, а также общего имущества в Объекте признаются перешедшими к Участнику долевого строительства, а Застройщик освобождается от ответственности за просрочку исполнения обязательст</w:t>
      </w:r>
      <w:r>
        <w:rPr>
          <w:rFonts w:ascii="Times New Roman" w:eastAsia="Times New Roman" w:hAnsi="Times New Roman" w:cs="Times New Roman"/>
        </w:rPr>
        <w:t>ва по передаче Квартиры.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Просрочка исполнения обязательства Участника долевого строительства по приемке Квартиры в срок не освобождает его от несения расходов по содержанию Квартиры, указанных в п. 5.1.3. настоящего Договора. В случае оплаты указанных расх</w:t>
      </w:r>
      <w:r>
        <w:rPr>
          <w:rFonts w:ascii="Times New Roman" w:eastAsia="Times New Roman" w:hAnsi="Times New Roman" w:cs="Times New Roman"/>
        </w:rPr>
        <w:t>одов Застройщиком, Участник долевого строительства обязуется возместить соответствующие расходы в течение 10 дней с даты получения соответствующего требования Застройщика.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5.1.11. Стороны признают, что полученное разрешение на ввод в эксплуатацию Объекта я</w:t>
      </w:r>
      <w:r>
        <w:rPr>
          <w:rFonts w:ascii="Times New Roman" w:eastAsia="Times New Roman" w:hAnsi="Times New Roman" w:cs="Times New Roman"/>
        </w:rPr>
        <w:t>вляется подтверждением соответствия Квартиры проектной документации, строительным нормам и правилам, требованиям технических и градостроительных регламентов, иным обязательным требованиям.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Права и обязанности Застройщика: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5.2.1. Застройщик обязан само</w:t>
      </w:r>
      <w:r>
        <w:rPr>
          <w:rFonts w:ascii="Times New Roman" w:eastAsia="Times New Roman" w:hAnsi="Times New Roman" w:cs="Times New Roman"/>
        </w:rPr>
        <w:t>стоятельно или с привлечением подрядных организаций осуществить выполнение функций заказчика-застройщика, проектирование и строительство Объекта в соответствии с проектной документацией и градостроительными нормами.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Планируемый срок завершения строительств</w:t>
      </w:r>
      <w:r>
        <w:rPr>
          <w:rFonts w:ascii="Times New Roman" w:eastAsia="Times New Roman" w:hAnsi="Times New Roman" w:cs="Times New Roman"/>
        </w:rPr>
        <w:t xml:space="preserve">а и ввода Объекта в эксплуатацию: </w:t>
      </w:r>
      <w:r>
        <w:rPr>
          <w:rFonts w:ascii="Times New Roman" w:eastAsia="Times New Roman" w:hAnsi="Times New Roman" w:cs="Times New Roman"/>
          <w:b/>
          <w:highlight w:val="yellow"/>
        </w:rPr>
        <w:t>1 квартал 2023 года.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5.2.2. По окончании строительства и ввода Объекта в эксплуатацию Застройщик обязан уведомить Участника долевого строительства о необходимости принятия Квартиры по акту приема-передачи в порядке, указан</w:t>
      </w:r>
      <w:r>
        <w:rPr>
          <w:rFonts w:ascii="Times New Roman" w:eastAsia="Times New Roman" w:hAnsi="Times New Roman" w:cs="Times New Roman"/>
        </w:rPr>
        <w:t>ном в п. 5.1.10. настоящего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5.2.3. При условии надлежащего исполнения Участником долевого строительства всех обязательств по настоящему Договору, Застройщик обязуется построить и передать Участнику долевого строительства Квартиру, с характеристик</w:t>
      </w:r>
      <w:r>
        <w:rPr>
          <w:rFonts w:ascii="Times New Roman" w:eastAsia="Times New Roman" w:hAnsi="Times New Roman" w:cs="Times New Roman"/>
        </w:rPr>
        <w:t xml:space="preserve">ами, указанными в пункте 1.2 настоящего Договора </w:t>
      </w:r>
      <w:r>
        <w:rPr>
          <w:rFonts w:ascii="Times New Roman" w:eastAsia="Times New Roman" w:hAnsi="Times New Roman" w:cs="Times New Roman"/>
        </w:rPr>
        <w:lastRenderedPageBreak/>
        <w:t xml:space="preserve">и в состоянии (с отделкой), согласованном Сторонами в Приложении № 1 к настоящему Договору по акту приема-передачи </w:t>
      </w:r>
      <w:r>
        <w:rPr>
          <w:rFonts w:ascii="Times New Roman" w:eastAsia="Times New Roman" w:hAnsi="Times New Roman" w:cs="Times New Roman"/>
          <w:b/>
          <w:highlight w:val="yellow"/>
        </w:rPr>
        <w:t>не позднее 30 июня  2023 года.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этом Стороны Договора согласились, что передача Квартиры </w:t>
      </w:r>
      <w:r>
        <w:rPr>
          <w:rFonts w:ascii="Times New Roman" w:eastAsia="Times New Roman" w:hAnsi="Times New Roman" w:cs="Times New Roman"/>
        </w:rPr>
        <w:t>может быть осуществлена Застройщиком досрочно, но не ранее дня получения Застройщиком разрешения на ввод Объекта в эксплуатацию. Участник долевого строительства не вправе отказаться от досрочной приемки Квартиры.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5.2.4. Застройщик обязан предоставлять по требованию Участника долевого строительства всю необходимую информацию, предоставление которой предусмотрено нормами Закона № 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5.2.5. Гарантийный срок для Квартиры, за исключением технологического и инженер</w:t>
      </w:r>
      <w:r>
        <w:rPr>
          <w:rFonts w:ascii="Times New Roman" w:eastAsia="Times New Roman" w:hAnsi="Times New Roman" w:cs="Times New Roman"/>
        </w:rPr>
        <w:t>ного оборудования, входящего в состав такого Объекта долевого строительства, составляет 5 (пять) лет со дня передачи Объекта долевого строительства.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5.2.5.1. Гарантийный срок на технологическое и инженерное оборудование, входящее в состав передаваемой Учас</w:t>
      </w:r>
      <w:r>
        <w:rPr>
          <w:rFonts w:ascii="Times New Roman" w:eastAsia="Times New Roman" w:hAnsi="Times New Roman" w:cs="Times New Roman"/>
        </w:rPr>
        <w:t xml:space="preserve">тнику долевого строительства Квартиры, составляет 3 (три) года со дня подписания первого передаточного акта или иного документа  о передаче объекта долевого строительства.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5.2.5.2. Гарантийный срок материалов, оборудования (кроме указанного в п. 5.2.5.1 н</w:t>
      </w:r>
      <w:r>
        <w:rPr>
          <w:rFonts w:ascii="Times New Roman" w:eastAsia="Times New Roman" w:hAnsi="Times New Roman" w:cs="Times New Roman"/>
        </w:rPr>
        <w:t>астоящего Договора) и комплектующих предметов Квартиры, на которые гарантийный срок установлен их изготовителем, соответствует гарантийному сроку, установленному изготовителем.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5.2.5.3. Застройщик не несет ответственности за недостатки (дефекты) Квартиры, </w:t>
      </w:r>
      <w:r>
        <w:rPr>
          <w:rFonts w:ascii="Times New Roman" w:eastAsia="Times New Roman" w:hAnsi="Times New Roman" w:cs="Times New Roman"/>
        </w:rPr>
        <w:t>обнаруженные в пределах гарантийного срока, если они произошли вследствие нормального износа Квартиры или ее частей, нарушения требований технических регламентов, градостроительных регламентов, а также иных обязательных требований к процессу ее эксплуатаци</w:t>
      </w:r>
      <w:r>
        <w:rPr>
          <w:rFonts w:ascii="Times New Roman" w:eastAsia="Times New Roman" w:hAnsi="Times New Roman" w:cs="Times New Roman"/>
        </w:rPr>
        <w:t>и либо вследствие его ненадлежащего ремонта, проведенного самим Участником долевого строительства или привлеченными им третьими лицами.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5.2.6. Не является нарушением требований о качестве Квартиры и не считается существенным изменением проектной документац</w:t>
      </w:r>
      <w:r>
        <w:rPr>
          <w:rFonts w:ascii="Times New Roman" w:eastAsia="Times New Roman" w:hAnsi="Times New Roman" w:cs="Times New Roman"/>
        </w:rPr>
        <w:t>ии по строительству Объекта следующие, не согласованные с Участником долевого строительства изменения в Объекте (и, соответственно, в проектной документации):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создание в коридорах лестничных площадок тамбуров, либо, наоборот, их ликвидация,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создание ве</w:t>
      </w:r>
      <w:r>
        <w:rPr>
          <w:rFonts w:ascii="Times New Roman" w:eastAsia="Times New Roman" w:hAnsi="Times New Roman" w:cs="Times New Roman"/>
        </w:rPr>
        <w:t>нтиляционных каналов и шахт в кухнях, санузлах, коридорах, которые будут выступать из стен и уменьшать площадь помещений в пределах 5 % их проектной площади, при условии, что изменение общей площади Квартиры не превысит пределы, установленные в пункте 1.2.</w:t>
      </w:r>
      <w:r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изменение видов, типов и конфигурации оконных стеклопакетов;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размещение в Квартире объектов согласно требованиям противопожарных норм (рукавов, вентилей и т.д.);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отклонение помещений, входящих в состав Квартиры, самой Квартиры, </w:t>
      </w:r>
      <w:r>
        <w:rPr>
          <w:rFonts w:ascii="Times New Roman" w:eastAsia="Times New Roman" w:hAnsi="Times New Roman" w:cs="Times New Roman"/>
        </w:rPr>
        <w:t>от осевых линий по проектной документации;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появление или удаление дополнительных балконов, лоджий вне Квартиры Участника долевого строительства, появление или удаление козырьков парадных, пандусов, перил лестниц Объекта;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изменение цвета и/или материала</w:t>
      </w:r>
      <w:r>
        <w:rPr>
          <w:rFonts w:ascii="Times New Roman" w:eastAsia="Times New Roman" w:hAnsi="Times New Roman" w:cs="Times New Roman"/>
        </w:rPr>
        <w:t xml:space="preserve"> наружной отделки фасадов Объекта, элементов фасадной отделки и декора, при условии, что они не затеняют Квартиру Участника долевого строительства;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изменение проекта благоустройства прилегающей территории;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иные изменения, производимые Застройщиком в Об</w:t>
      </w:r>
      <w:r>
        <w:rPr>
          <w:rFonts w:ascii="Times New Roman" w:eastAsia="Times New Roman" w:hAnsi="Times New Roman" w:cs="Times New Roman"/>
        </w:rPr>
        <w:t>ъекте и/или в Квартире, без их согласования (уведомления) с Участником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такое согласо</w:t>
      </w:r>
      <w:r>
        <w:rPr>
          <w:rFonts w:ascii="Times New Roman" w:eastAsia="Times New Roman" w:hAnsi="Times New Roman" w:cs="Times New Roman"/>
        </w:rPr>
        <w:t>вание не требуется по законодательству Российской Федерации.</w:t>
      </w:r>
    </w:p>
    <w:p w:rsidR="00A54F43" w:rsidRDefault="00751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5.2.7. Допустимое изменение фактической площади Квартиры относительно проектной составляет до 5 % (пяти процентов) от проектной площади Квартиры. Стороны подтверждают, что для целей определения д</w:t>
      </w:r>
      <w:r>
        <w:rPr>
          <w:rFonts w:ascii="Times New Roman" w:eastAsia="Times New Roman" w:hAnsi="Times New Roman" w:cs="Times New Roman"/>
        </w:rPr>
        <w:t xml:space="preserve">опустимого изменения фактической площади Квартиры относительно проектной используются данные обмеров, произведенных до выполнения работ по отделке /подготовке под отделку Квартиры. 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изменения элементов проекта строительства, повлекшего изменение к</w:t>
      </w:r>
      <w:r>
        <w:rPr>
          <w:rFonts w:ascii="Times New Roman" w:eastAsia="Times New Roman" w:hAnsi="Times New Roman" w:cs="Times New Roman"/>
        </w:rPr>
        <w:t>онфигурации Квартиры, расположение в Квартире инженерного оборудования, параметров помещений, входящих в состав Квартиры, Застройщик уведомляет об этом Участника долевого строительства, направляя в его адрес измененную копию плана Квартиры. Указанные измен</w:t>
      </w:r>
      <w:r>
        <w:rPr>
          <w:rFonts w:ascii="Times New Roman" w:eastAsia="Times New Roman" w:hAnsi="Times New Roman" w:cs="Times New Roman"/>
        </w:rPr>
        <w:t>ения признаются Сторонами допустимыми, не являются нарушением условий по требованию к качеству Квартиры, не могут служить основанием для расторжения Договора, в случае если в результате таких изменений, общая приведенная площадь Квартиры, определяемая в со</w:t>
      </w:r>
      <w:r>
        <w:rPr>
          <w:rFonts w:ascii="Times New Roman" w:eastAsia="Times New Roman" w:hAnsi="Times New Roman" w:cs="Times New Roman"/>
        </w:rPr>
        <w:t>ответствии с п.1.2 Договора, изменится не более, чем на 5 % (Пять) процентов от общей приведенной площади Квартиры, установленной на момент подписания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5.2.8. Расходы по оплате государственной пошлины за государственную регистрацию настоящего Дого</w:t>
      </w:r>
      <w:r>
        <w:rPr>
          <w:rFonts w:ascii="Times New Roman" w:eastAsia="Times New Roman" w:hAnsi="Times New Roman" w:cs="Times New Roman"/>
        </w:rPr>
        <w:t>вора оплачиваются Участником долевого строительства и Застройщиком в размере и порядке, предусмотренном действующим законодательством.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ОТВЕТСТВЕННОСТЬ СТОРОН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При нарушении Участником долевого строительства срока внесения платежа по настоящему Догов</w:t>
      </w:r>
      <w:r>
        <w:rPr>
          <w:rFonts w:ascii="Times New Roman" w:eastAsia="Times New Roman" w:hAnsi="Times New Roman" w:cs="Times New Roman"/>
        </w:rPr>
        <w:t>ору, указанного в разделе 4 настоящего Договора, Участник долевого строительства выплачивает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</w:t>
      </w:r>
      <w:r>
        <w:rPr>
          <w:rFonts w:ascii="Times New Roman" w:eastAsia="Times New Roman" w:hAnsi="Times New Roman" w:cs="Times New Roman"/>
        </w:rPr>
        <w:t>енного платежа за каждый день просрочки.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В случае, если в соответствии с настоящим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более чем два м</w:t>
      </w:r>
      <w:r>
        <w:rPr>
          <w:rFonts w:ascii="Times New Roman" w:eastAsia="Times New Roman" w:hAnsi="Times New Roman" w:cs="Times New Roman"/>
        </w:rPr>
        <w:t>есяца является основанием для одностороннего отказа Застройщика от исполнения Договора в порядке, предусмотренном Законом № 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случае, если в соответствии с настоящим Договором уплата Цены договора должна производиться Участником долевого строительс</w:t>
      </w:r>
      <w:r>
        <w:rPr>
          <w:rFonts w:ascii="Times New Roman" w:eastAsia="Times New Roman" w:hAnsi="Times New Roman" w:cs="Times New Roman"/>
        </w:rPr>
        <w:t>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</w:t>
      </w:r>
      <w:r>
        <w:rPr>
          <w:rFonts w:ascii="Times New Roman" w:eastAsia="Times New Roman" w:hAnsi="Times New Roman" w:cs="Times New Roman"/>
        </w:rPr>
        <w:t>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Законом № 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В случае нарушения Участником долевого строительства обязательств, предусмотрен</w:t>
      </w:r>
      <w:r>
        <w:rPr>
          <w:rFonts w:ascii="Times New Roman" w:eastAsia="Times New Roman" w:hAnsi="Times New Roman" w:cs="Times New Roman"/>
        </w:rPr>
        <w:t>ных п. 5.1.9. настоящего Договора, Участник долевого строительства оплачивает стоимость восстановительных работ в течение одного месяца с момента получения соответствующего требования Застройщика. При этом согласие Участника долевого строительства на прове</w:t>
      </w:r>
      <w:r>
        <w:rPr>
          <w:rFonts w:ascii="Times New Roman" w:eastAsia="Times New Roman" w:hAnsi="Times New Roman" w:cs="Times New Roman"/>
        </w:rPr>
        <w:t>дение Застройщиком восстановительных работ не требуется.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Участник долевого строительства в случае нарушения сроков, указанных в п. 5.1.10. настоящего Договора, уплачивает Застройщику пени в размере одной трехсотой ставки рефинансирования ЦБ РФ, действ</w:t>
      </w:r>
      <w:r>
        <w:rPr>
          <w:rFonts w:ascii="Times New Roman" w:eastAsia="Times New Roman" w:hAnsi="Times New Roman" w:cs="Times New Roman"/>
        </w:rPr>
        <w:t>ующей на день исполнения обязательства, от Цены договора, указанной в п. 4.1. настоящего Договора, за каждый день просрочки.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Застройщик несет ответственность за неисполнение условий настоящего Договора в соответствии с Законом № 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 Все штрафы и пени по настоящему Договору начисляются и взыскиваются не позднее дня подписания акта приема-передачи квартиры, а в случае, предусмотренном п.5.1.10. настоящего Договора со дня составления одностороннего акта Застройщиком.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ДЕЙСТВИЕ И Р</w:t>
      </w:r>
      <w:r>
        <w:rPr>
          <w:rFonts w:ascii="Times New Roman" w:eastAsia="Times New Roman" w:hAnsi="Times New Roman" w:cs="Times New Roman"/>
          <w:b/>
        </w:rPr>
        <w:t>АСТОРЖЕНИЕ ДОГОВОРА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Настоящий Договор подлежит государственной регистрации в органах, осуществляющих государственную регистрацию прав на недвижимое имущество и сделок с ним, вступает в силу с момента его регистрации и действует до момента исполнения С</w:t>
      </w:r>
      <w:r>
        <w:rPr>
          <w:rFonts w:ascii="Times New Roman" w:eastAsia="Times New Roman" w:hAnsi="Times New Roman" w:cs="Times New Roman"/>
        </w:rPr>
        <w:t>торонами своих обязательств, предусмотренных настоящим Договором и Законом № 214-ФЗ.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Расторжение договора в результате внесудебного одностороннего отказа одной из сторон договора возможно в случаях, прямо предусмотренных действующим законодательством.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Во всех иных случаях, прямо не предусмотренных действующим законодательством,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</w:t>
      </w:r>
      <w:r>
        <w:rPr>
          <w:rFonts w:ascii="Times New Roman" w:eastAsia="Times New Roman" w:hAnsi="Times New Roman" w:cs="Times New Roman"/>
        </w:rPr>
        <w:t>ия о расторжении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7.4. В случае расторжения Договора Участник долевого строительства утрачивает право на получение Квартиры.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7.5. В случае досрочного расторжения и (или) прекращения Договора по любым основаниям возврат уплаченных Участником долево</w:t>
      </w:r>
      <w:r>
        <w:rPr>
          <w:rFonts w:ascii="Times New Roman" w:eastAsia="Times New Roman" w:hAnsi="Times New Roman" w:cs="Times New Roman"/>
        </w:rPr>
        <w:t xml:space="preserve">го строительства денежных средств осуществляется в порядке и на условиях, предусмотренных  договором счета эскроу и  Законом № 214-ФЗ. </w:t>
      </w:r>
    </w:p>
    <w:p w:rsidR="00A54F43" w:rsidRDefault="00A54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ФОРС-МАЖОР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Догово</w:t>
      </w:r>
      <w:r>
        <w:rPr>
          <w:rFonts w:ascii="Times New Roman" w:eastAsia="Times New Roman" w:hAnsi="Times New Roman" w:cs="Times New Roman"/>
        </w:rPr>
        <w:t>ру, если это неисполнение было вызвано обстоятельствами непреодолимой силы, т.е. событиями чрезвычайного характера, возникшими после заключения Договора, которые Стороны не могли ни предвидеть, ни предотвратить разумными способами. О наступлении обстоятель</w:t>
      </w:r>
      <w:r>
        <w:rPr>
          <w:rFonts w:ascii="Times New Roman" w:eastAsia="Times New Roman" w:hAnsi="Times New Roman" w:cs="Times New Roman"/>
        </w:rPr>
        <w:t>ств непреодолимой силы Стороны уведомляют друг друга в письменной форме в двадцатидневный срок с момента наступления указанных обстоятельств. Факт наступления таких обстоятельств подтверждается уведомлением, справкой или иным документом компетентных органо</w:t>
      </w:r>
      <w:r>
        <w:rPr>
          <w:rFonts w:ascii="Times New Roman" w:eastAsia="Times New Roman" w:hAnsi="Times New Roman" w:cs="Times New Roman"/>
        </w:rPr>
        <w:t>в.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9.1. Стороны обязуются хранить в тайне конфиденциальн</w:t>
      </w:r>
      <w:r>
        <w:rPr>
          <w:rFonts w:ascii="Times New Roman" w:eastAsia="Times New Roman" w:hAnsi="Times New Roman" w:cs="Times New Roman"/>
        </w:rPr>
        <w:t>ую информацию, представленную каждой из Сторон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другой Стороны настоящего Договора.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9.2. В отношении своих </w:t>
      </w:r>
      <w:r>
        <w:rPr>
          <w:rFonts w:ascii="Times New Roman" w:eastAsia="Times New Roman" w:hAnsi="Times New Roman" w:cs="Times New Roman"/>
        </w:rPr>
        <w:t>персональных данных Участник долевого строительства, в соответствии с п.1 ст.6 Федерального закона от 27.07.2006 № 152-ФЗ «О персональных данных» дает согласие на их обработку и предоставление Застройщиком третьим лицам в целях заключения и исполнения наст</w:t>
      </w:r>
      <w:r>
        <w:rPr>
          <w:rFonts w:ascii="Times New Roman" w:eastAsia="Times New Roman" w:hAnsi="Times New Roman" w:cs="Times New Roman"/>
        </w:rPr>
        <w:t>оящего Договора, а также в иных случаях, предусмотренных действующим законодательством.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Участник долевого строительства выражает (дает) свое согласие на получение информационных сообщений от Застройщика на указанный им адрес электронной почты, мобильный т</w:t>
      </w:r>
      <w:r>
        <w:rPr>
          <w:rFonts w:ascii="Times New Roman" w:eastAsia="Times New Roman" w:hAnsi="Times New Roman" w:cs="Times New Roman"/>
        </w:rPr>
        <w:t>елефон, а также путем использования «личного кабинета Участника долевого строительства» на сайте Застройщика.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9.3. С момента поступления информационных сообщений и/или уведомлений на указанный им адрес электронной почты, мобильный телефон, либо в личном к</w:t>
      </w:r>
      <w:r>
        <w:rPr>
          <w:rFonts w:ascii="Times New Roman" w:eastAsia="Times New Roman" w:hAnsi="Times New Roman" w:cs="Times New Roman"/>
        </w:rPr>
        <w:t>абинете на сайте Застройщика, Участник долевого строительства считается извещенным.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9.4. Все споры и разногласия, которые могут возникнуть из настоящего Договора или в связи с ним, решаются Сторонами путем переговоров (при этом указанные переговоры не рас</w:t>
      </w:r>
      <w:r>
        <w:rPr>
          <w:rFonts w:ascii="Times New Roman" w:eastAsia="Times New Roman" w:hAnsi="Times New Roman" w:cs="Times New Roman"/>
        </w:rPr>
        <w:t>сматриваются в качестве обязательного досудебного порядка урегулирования споров). В случае если договоренность между Сторонами не будет достигнута, Стороны обращаются для их урегулирования к судебным органам в соответствии действующим законодательством.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>5. Обо всех изменениях платежных и почтовых реквизитов Стороны обязаны извещать друг друга в течение 5 дней. Действия, совершенные по адресам и счетам, указанным в настоящем Договоре до поступления уведомлений об их изменении, засчитываются в исполнение об</w:t>
      </w:r>
      <w:r>
        <w:rPr>
          <w:rFonts w:ascii="Times New Roman" w:eastAsia="Times New Roman" w:hAnsi="Times New Roman" w:cs="Times New Roman"/>
        </w:rPr>
        <w:t>язательств.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9.6. 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</w:t>
      </w:r>
    </w:p>
    <w:p w:rsidR="00A54F43" w:rsidRDefault="00751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9.7. Настоящий Договор составлен в четырех подлинных экземплярах, имеющи</w:t>
      </w:r>
      <w:r>
        <w:rPr>
          <w:rFonts w:ascii="Times New Roman" w:eastAsia="Times New Roman" w:hAnsi="Times New Roman" w:cs="Times New Roman"/>
        </w:rPr>
        <w:t xml:space="preserve">х одинаковую юридическую силу, один экземпляр - для Участника долевого строительства, два экземпляра - для Застройщика, один экземпляр – для органа, осуществляющего государственную регистрацию Договора. </w:t>
      </w:r>
    </w:p>
    <w:p w:rsidR="00A54F43" w:rsidRDefault="00751A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ЮРИДИЧЕСКИЕ АДРЕСА И РЕКВИЗИТЫ СТОРОН</w:t>
      </w:r>
    </w:p>
    <w:tbl>
      <w:tblPr>
        <w:tblStyle w:val="af1"/>
        <w:tblW w:w="100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86"/>
        <w:gridCol w:w="5313"/>
      </w:tblGrid>
      <w:tr w:rsidR="00A54F43">
        <w:tc>
          <w:tcPr>
            <w:tcW w:w="4786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Застройщик:</w:t>
            </w:r>
          </w:p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13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Участник долевого строительства:</w:t>
            </w:r>
          </w:p>
        </w:tc>
      </w:tr>
      <w:tr w:rsidR="00A54F43">
        <w:tc>
          <w:tcPr>
            <w:tcW w:w="4786" w:type="dxa"/>
            <w:shd w:val="clear" w:color="auto" w:fill="auto"/>
          </w:tcPr>
          <w:p w:rsidR="00A54F43" w:rsidRDefault="0075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ООО Специализированный Застройщик «Алгоритм Девелопмент»</w:t>
            </w:r>
          </w:p>
          <w:tbl>
            <w:tblPr>
              <w:tblStyle w:val="af2"/>
              <w:tblW w:w="987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939"/>
              <w:gridCol w:w="4939"/>
            </w:tblGrid>
            <w:tr w:rsidR="00A54F43">
              <w:trPr>
                <w:cantSplit/>
                <w:trHeight w:val="316"/>
              </w:trPr>
              <w:tc>
                <w:tcPr>
                  <w:tcW w:w="4939" w:type="dxa"/>
                </w:tcPr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ИНН 7842055902, КПП 780201001194354, г. Санкт-Петербург, ул. Есенина, дом 1 к.1, лит. А, офис № 47-Нр/с  40702810455000052540 в 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Северо-Западном банке ПАО Сбербанка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России, г. Санкт-Петербург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к/с  30101810500000000653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БИК  044030653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Тел: 409-96-46, 209-09-09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Генеральный директор</w:t>
                  </w:r>
                </w:p>
                <w:p w:rsidR="00A54F43" w:rsidRDefault="00A54F4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54F43" w:rsidRDefault="00A54F4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54F43" w:rsidRDefault="00A54F4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54F43" w:rsidRDefault="00A54F4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___________________ /О. И. Самсонов/</w:t>
                  </w:r>
                </w:p>
              </w:tc>
              <w:tc>
                <w:tcPr>
                  <w:tcW w:w="4939" w:type="dxa"/>
                  <w:shd w:val="clear" w:color="auto" w:fill="auto"/>
                </w:tcPr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ИНН 7842055902, КПП 784201001</w:t>
                  </w:r>
                </w:p>
                <w:p w:rsidR="00A54F43" w:rsidRDefault="00A54F4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Юридический адрес :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191024, г. Санкт-Петербург, 4-ая Советская, д.43 лит.А, помещение 1-Н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Фактическое местонахождение: 194354, Санкт-Петербург ул.Есенина дом 1 , корп.1, пом.150Н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Тел. 409-96-46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209-09-09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Расч./счет № 40702810390240000240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в ПАО «Банк Санкт-Петербург»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г. Санкт-Петербург</w:t>
                  </w:r>
                </w:p>
                <w:p w:rsidR="00A54F43" w:rsidRDefault="00751AD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Корр./счет № №30101810900000000790, </w:t>
                  </w:r>
                </w:p>
              </w:tc>
            </w:tr>
            <w:tr w:rsidR="00A54F43">
              <w:trPr>
                <w:trHeight w:val="241"/>
              </w:trPr>
              <w:tc>
                <w:tcPr>
                  <w:tcW w:w="4939" w:type="dxa"/>
                </w:tcPr>
                <w:p w:rsidR="00A54F43" w:rsidRDefault="00A5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939" w:type="dxa"/>
                  <w:shd w:val="clear" w:color="auto" w:fill="auto"/>
                </w:tcPr>
                <w:p w:rsidR="00A54F43" w:rsidRDefault="00751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БИК 044030790</w:t>
                  </w:r>
                </w:p>
                <w:p w:rsidR="00A54F43" w:rsidRDefault="00A54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13" w:type="dxa"/>
            <w:shd w:val="clear" w:color="auto" w:fill="auto"/>
          </w:tcPr>
          <w:p w:rsidR="00A54F43" w:rsidRDefault="0075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Гражданка РФ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A54F43" w:rsidRDefault="00A5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F43" w:rsidRDefault="00A5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F43" w:rsidRDefault="00A5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F43" w:rsidRDefault="00A5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F43" w:rsidRDefault="0075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 /Козьякова И.В./</w:t>
            </w:r>
          </w:p>
          <w:p w:rsidR="00A54F43" w:rsidRDefault="00A54F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4F43" w:rsidRDefault="0075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4F43" w:rsidRDefault="00A5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54F43" w:rsidRDefault="00751A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4F43" w:rsidRDefault="00A54F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№ 1</w:t>
      </w:r>
    </w:p>
    <w:p w:rsidR="00A54F43" w:rsidRDefault="00751A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к Договору участия в долевом строительстве </w:t>
      </w:r>
    </w:p>
    <w:p w:rsidR="00A54F43" w:rsidRDefault="00751A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№ от «»2022 года  </w:t>
      </w:r>
    </w:p>
    <w:p w:rsidR="00A54F43" w:rsidRDefault="00A54F4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6372" w:firstLine="707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124" w:firstLine="707"/>
        <w:jc w:val="center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54F43" w:rsidRDefault="00751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A54F43" w:rsidRDefault="0075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Состояние передаваемой Участнику Квартиры</w:t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потолков;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Оклейка стен обоями – виниловые на флизелиновой основе;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полов из ламината (кроме с/у) – толщина 6 мм, класс 32;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плинтуса;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гидроизоляции пола в ванной и санузле;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Укладка керамической плиткой пола в ванной и с/у; 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полотенцесушителя;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ванны; 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унитаза с бачком;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раковины;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смесителя для раковины;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смесителя для ванны;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Межкомнатные двери МДФ, с комплектом скобяных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изделий, наличник МДФ;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наличников;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розеток и выключателей;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оконных блоков;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кранов проходных на трубопроводах; 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Прокладка трубопроводов водоснабжения;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радиаторов отопления;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счетчиков учета расхода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горячей и холодной воды;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электрическая проводка;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радио-розетки;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пожарной сигнализации;</w:t>
      </w:r>
    </w:p>
    <w:p w:rsidR="00A54F43" w:rsidRDefault="00751A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Входная металлическая дверь.</w:t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3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A54F43">
        <w:tc>
          <w:tcPr>
            <w:tcW w:w="4928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Застройщик:</w:t>
            </w:r>
          </w:p>
        </w:tc>
        <w:tc>
          <w:tcPr>
            <w:tcW w:w="5386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Участник долевого строительства:</w:t>
            </w:r>
          </w:p>
        </w:tc>
      </w:tr>
    </w:tbl>
    <w:p w:rsidR="00A54F43" w:rsidRDefault="00751A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Генеральный директор</w:t>
      </w:r>
      <w:r>
        <w:rPr>
          <w:rFonts w:ascii="Times New Roman" w:eastAsia="Times New Roman" w:hAnsi="Times New Roman" w:cs="Times New Roman"/>
          <w:b/>
        </w:rPr>
        <w:tab/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A54F43" w:rsidRDefault="0075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____________________/О. И. Самсонов/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 / /</w:t>
      </w:r>
    </w:p>
    <w:p w:rsidR="00A54F43" w:rsidRDefault="00A5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№2</w:t>
      </w:r>
    </w:p>
    <w:p w:rsidR="00A54F43" w:rsidRDefault="00751A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Договору участия в долевом строительстве </w:t>
      </w:r>
    </w:p>
    <w:p w:rsidR="00A54F43" w:rsidRDefault="00751A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№ от «»2022 года  </w:t>
      </w:r>
    </w:p>
    <w:p w:rsidR="00A54F43" w:rsidRDefault="00A54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  <w:color w:val="000000"/>
        </w:rPr>
      </w:pPr>
    </w:p>
    <w:p w:rsidR="00A54F43" w:rsidRDefault="00A54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  <w:color w:val="000000"/>
        </w:rPr>
      </w:pPr>
    </w:p>
    <w:p w:rsidR="00A54F43" w:rsidRDefault="00A54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  <w:color w:val="000000"/>
        </w:rPr>
      </w:pPr>
    </w:p>
    <w:p w:rsidR="00A54F43" w:rsidRDefault="00A54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right"/>
        <w:rPr>
          <w:rFonts w:ascii="Times New Roman" w:eastAsia="Times New Roman" w:hAnsi="Times New Roman" w:cs="Times New Roman"/>
          <w:color w:val="000000"/>
        </w:rPr>
      </w:pPr>
    </w:p>
    <w:p w:rsidR="00A54F43" w:rsidRDefault="00751AD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РАСПОЛОЖЕНИЕ КВАРТИРЫ </w:t>
      </w: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p w:rsidR="00A54F43" w:rsidRDefault="00A54F4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</w:rPr>
      </w:pPr>
    </w:p>
    <w:tbl>
      <w:tblPr>
        <w:tblStyle w:val="af4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A54F43">
        <w:tc>
          <w:tcPr>
            <w:tcW w:w="4928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Застройщик:</w:t>
            </w:r>
          </w:p>
        </w:tc>
        <w:tc>
          <w:tcPr>
            <w:tcW w:w="5386" w:type="dxa"/>
            <w:shd w:val="clear" w:color="auto" w:fill="auto"/>
          </w:tcPr>
          <w:p w:rsidR="00A54F43" w:rsidRDefault="00A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4F43" w:rsidRDefault="00751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Участник долевого строительства:</w:t>
            </w:r>
          </w:p>
        </w:tc>
      </w:tr>
    </w:tbl>
    <w:p w:rsidR="00A54F43" w:rsidRDefault="00751A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Генеральный директор</w:t>
      </w:r>
      <w:r>
        <w:rPr>
          <w:rFonts w:ascii="Times New Roman" w:eastAsia="Times New Roman" w:hAnsi="Times New Roman" w:cs="Times New Roman"/>
          <w:b/>
        </w:rPr>
        <w:tab/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F43" w:rsidRDefault="00751A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A54F43" w:rsidRDefault="0075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____________________/О. И. Самсонов/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 / /</w:t>
      </w:r>
    </w:p>
    <w:p w:rsidR="00A54F43" w:rsidRDefault="00A54F4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54F43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0EB"/>
    <w:multiLevelType w:val="multilevel"/>
    <w:tmpl w:val="82EE614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70F36D44"/>
    <w:multiLevelType w:val="multilevel"/>
    <w:tmpl w:val="17046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43"/>
    <w:rsid w:val="00751AD0"/>
    <w:rsid w:val="00A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D0E4-7E3E-4DDC-84D8-97D5AAD9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10F"/>
    <w:pPr>
      <w:keepNext/>
      <w:widowControl w:val="0"/>
      <w:numPr>
        <w:numId w:val="1"/>
      </w:numPr>
      <w:tabs>
        <w:tab w:val="left" w:pos="0"/>
        <w:tab w:val="left" w:pos="1106"/>
        <w:tab w:val="left" w:pos="1276"/>
      </w:tabs>
      <w:suppressAutoHyphens/>
      <w:spacing w:after="0" w:line="216" w:lineRule="auto"/>
      <w:jc w:val="both"/>
      <w:outlineLvl w:val="0"/>
    </w:pPr>
    <w:rPr>
      <w:rFonts w:ascii="Times New Roman" w:eastAsia="Times New Roman" w:hAnsi="Times New Roman" w:cs="Times New Roman"/>
      <w:b/>
      <w:iCs/>
      <w:sz w:val="2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C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B4A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1D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79AD"/>
  </w:style>
  <w:style w:type="paragraph" w:styleId="aa">
    <w:name w:val="footer"/>
    <w:basedOn w:val="a"/>
    <w:link w:val="ab"/>
    <w:uiPriority w:val="99"/>
    <w:unhideWhenUsed/>
    <w:rsid w:val="0049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79AD"/>
  </w:style>
  <w:style w:type="character" w:customStyle="1" w:styleId="10">
    <w:name w:val="Заголовок 1 Знак"/>
    <w:basedOn w:val="a0"/>
    <w:link w:val="1"/>
    <w:rsid w:val="0088310F"/>
    <w:rPr>
      <w:rFonts w:ascii="Times New Roman" w:eastAsia="Times New Roman" w:hAnsi="Times New Roman" w:cs="Times New Roman"/>
      <w:b/>
      <w:iCs/>
      <w:sz w:val="26"/>
      <w:szCs w:val="20"/>
      <w:lang w:eastAsia="ar-SA"/>
    </w:rPr>
  </w:style>
  <w:style w:type="paragraph" w:customStyle="1" w:styleId="21">
    <w:name w:val="Стиль2_аб"/>
    <w:basedOn w:val="a"/>
    <w:rsid w:val="0088310F"/>
    <w:pPr>
      <w:widowControl w:val="0"/>
      <w:tabs>
        <w:tab w:val="left" w:pos="1106"/>
        <w:tab w:val="left" w:pos="1276"/>
      </w:tabs>
      <w:suppressAutoHyphens/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iCs/>
      <w:sz w:val="21"/>
      <w:szCs w:val="20"/>
      <w:lang w:eastAsia="ar-SA"/>
    </w:rPr>
  </w:style>
  <w:style w:type="paragraph" w:customStyle="1" w:styleId="11">
    <w:name w:val="Стиль1_гл"/>
    <w:basedOn w:val="a"/>
    <w:rsid w:val="0088310F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sz w:val="21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C27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594042"/>
    <w:rPr>
      <w:color w:val="0000FF"/>
      <w:u w:val="single"/>
    </w:rPr>
  </w:style>
  <w:style w:type="character" w:customStyle="1" w:styleId="wmi-callto">
    <w:name w:val="wmi-callto"/>
    <w:basedOn w:val="a0"/>
    <w:rsid w:val="00EA2EF6"/>
  </w:style>
  <w:style w:type="character" w:customStyle="1" w:styleId="a5">
    <w:name w:val="Абзац списка Знак"/>
    <w:link w:val="a4"/>
    <w:uiPriority w:val="34"/>
    <w:locked/>
    <w:rsid w:val="0096639F"/>
  </w:style>
  <w:style w:type="paragraph" w:customStyle="1" w:styleId="ConsPlusNormal">
    <w:name w:val="ConsPlusNormal"/>
    <w:rsid w:val="00A66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2">
    <w:name w:val="Body Text 2"/>
    <w:basedOn w:val="a"/>
    <w:link w:val="23"/>
    <w:rsid w:val="00573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7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BB65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2E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BB652E"/>
    <w:rPr>
      <w:sz w:val="16"/>
      <w:szCs w:val="16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crow_Sberbank@sber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i1nbjKvaH7NwATbqsU+LqbhUYQ==">AMUW2mXWT54TuGap8X2CxufJXIlBaf6fcqYGoB+osDBGi2ZAVWzXuxcnz0Uv5dsBPS4dgZ7cUzfjgGetNQRPQqNT6KJM8/9nweDMWb0xMM7XWkX5dUtK1sQ=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2022-06-20T09:02:00Z</dcterms:created>
  <dcterms:modified xsi:type="dcterms:W3CDTF">2022-06-20T09:02:00Z</dcterms:modified>
</cp:coreProperties>
</file>